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b/>
          <w:sz w:val="36"/>
          <w:szCs w:val="36"/>
        </w:rPr>
      </w:pPr>
    </w:p>
    <w:p>
      <w:pPr>
        <w:jc w:val="center"/>
        <w:rPr>
          <w:rFonts w:ascii="Arial" w:hAnsi="Arial" w:cs="Arial"/>
          <w:b/>
          <w:sz w:val="36"/>
          <w:szCs w:val="36"/>
        </w:rPr>
      </w:pPr>
    </w:p>
    <w:p>
      <w:pPr>
        <w:jc w:val="center"/>
        <w:rPr>
          <w:rFonts w:ascii="Arial" w:hAnsi="Arial" w:cs="Arial"/>
          <w:b/>
          <w:sz w:val="52"/>
          <w:szCs w:val="52"/>
        </w:rPr>
      </w:pPr>
      <w:r>
        <w:rPr>
          <w:rFonts w:ascii="Arial" w:hAnsi="Arial" w:cs="Arial"/>
          <w:b/>
          <w:sz w:val="52"/>
          <w:szCs w:val="52"/>
        </w:rPr>
        <w:t>水冷</w:t>
      </w:r>
      <w:r>
        <w:rPr>
          <w:rFonts w:hint="eastAsia" w:ascii="Arial" w:hAnsi="Arial" w:cs="Arial"/>
          <w:b/>
          <w:sz w:val="52"/>
          <w:szCs w:val="52"/>
        </w:rPr>
        <w:t>螺杆</w:t>
      </w:r>
      <w:r>
        <w:rPr>
          <w:rFonts w:ascii="Arial" w:hAnsi="Arial" w:cs="Arial"/>
          <w:b/>
          <w:sz w:val="52"/>
          <w:szCs w:val="52"/>
        </w:rPr>
        <w:t>式冷水机组用户需求说明</w:t>
      </w:r>
    </w:p>
    <w:p>
      <w:pPr>
        <w:pStyle w:val="4"/>
        <w:spacing w:line="360" w:lineRule="auto"/>
        <w:jc w:val="center"/>
        <w:rPr>
          <w:rFonts w:ascii="Times New Roman" w:hAnsi="宋体" w:cs="Times New Roman"/>
          <w:b/>
          <w:sz w:val="36"/>
          <w:szCs w:val="36"/>
        </w:rPr>
      </w:pPr>
    </w:p>
    <w:p>
      <w:pPr>
        <w:pStyle w:val="4"/>
        <w:spacing w:line="360" w:lineRule="auto"/>
        <w:jc w:val="center"/>
        <w:rPr>
          <w:rFonts w:ascii="Times New Roman" w:hAnsi="Times New Roman" w:cs="Times New Roman"/>
          <w:b/>
          <w:color w:val="FF0000"/>
          <w:sz w:val="36"/>
          <w:szCs w:val="36"/>
          <w:highlight w:val="yellow"/>
        </w:rPr>
      </w:pPr>
      <w:r>
        <w:rPr>
          <w:rFonts w:ascii="Times New Roman" w:hAnsi="宋体" w:cs="Times New Roman"/>
          <w:b/>
          <w:sz w:val="36"/>
          <w:szCs w:val="36"/>
        </w:rPr>
        <w:t>文件编号：</w:t>
      </w:r>
      <w:r>
        <w:rPr>
          <w:rFonts w:ascii="Times New Roman" w:hAnsi="Times New Roman" w:cs="Times New Roman"/>
          <w:b/>
          <w:sz w:val="36"/>
          <w:szCs w:val="36"/>
        </w:rPr>
        <w:t>URS-2024-</w:t>
      </w:r>
      <w:r>
        <w:rPr>
          <w:rFonts w:hint="eastAsia" w:ascii="Times New Roman" w:hAnsi="Times New Roman" w:cs="Times New Roman"/>
          <w:b/>
          <w:sz w:val="36"/>
          <w:szCs w:val="36"/>
        </w:rPr>
        <w:t>0</w:t>
      </w:r>
      <w:r>
        <w:rPr>
          <w:rFonts w:hint="eastAsia" w:ascii="Times New Roman" w:hAnsi="Times New Roman" w:cs="Times New Roman"/>
          <w:b/>
          <w:sz w:val="36"/>
          <w:szCs w:val="36"/>
          <w:lang w:val="en-US" w:eastAsia="zh-CN"/>
        </w:rPr>
        <w:t>315</w:t>
      </w:r>
      <w:r>
        <w:rPr>
          <w:rFonts w:hint="eastAsia" w:ascii="Times New Roman" w:hAnsi="Times New Roman" w:cs="Times New Roman"/>
          <w:b/>
          <w:sz w:val="36"/>
          <w:szCs w:val="36"/>
        </w:rPr>
        <w:t>-7</w:t>
      </w:r>
      <w:r>
        <w:rPr>
          <w:rFonts w:hint="eastAsia" w:ascii="Times New Roman" w:hAnsi="Times New Roman" w:cs="Times New Roman"/>
          <w:b/>
          <w:sz w:val="36"/>
          <w:szCs w:val="36"/>
          <w:lang w:val="en-US" w:eastAsia="zh-CN"/>
        </w:rPr>
        <w:t>-1</w:t>
      </w:r>
    </w:p>
    <w:p>
      <w:pPr>
        <w:spacing w:line="460" w:lineRule="exact"/>
        <w:jc w:val="center"/>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jc w:val="center"/>
        <w:rPr>
          <w:rFonts w:ascii="Arial" w:hAnsi="Arial" w:cs="Arial"/>
          <w:b/>
          <w:sz w:val="44"/>
          <w:szCs w:val="44"/>
        </w:rPr>
      </w:pPr>
      <w:r>
        <w:rPr>
          <w:rFonts w:hint="eastAsia" w:ascii="Arial" w:hAnsi="Arial" w:cs="Arial"/>
          <w:b/>
          <w:sz w:val="44"/>
          <w:szCs w:val="44"/>
        </w:rPr>
        <w:t>湖北天圣药业有限公司</w:t>
      </w:r>
    </w:p>
    <w:p>
      <w:pPr>
        <w:jc w:val="center"/>
        <w:rPr>
          <w:b/>
          <w:sz w:val="32"/>
          <w:szCs w:val="32"/>
        </w:rPr>
      </w:pPr>
      <w:r>
        <w:rPr>
          <w:rFonts w:hint="eastAsia"/>
          <w:b/>
          <w:sz w:val="32"/>
          <w:szCs w:val="32"/>
        </w:rPr>
        <w:t>2024年0</w:t>
      </w:r>
      <w:r>
        <w:rPr>
          <w:rFonts w:hint="eastAsia"/>
          <w:b/>
          <w:sz w:val="32"/>
          <w:szCs w:val="32"/>
          <w:lang w:val="en-US" w:eastAsia="zh-CN"/>
        </w:rPr>
        <w:t>3</w:t>
      </w:r>
      <w:r>
        <w:rPr>
          <w:rFonts w:hint="eastAsia"/>
          <w:b/>
          <w:sz w:val="32"/>
          <w:szCs w:val="32"/>
        </w:rPr>
        <w:t>月</w:t>
      </w:r>
    </w:p>
    <w:p>
      <w:pPr>
        <w:spacing w:line="240" w:lineRule="auto"/>
        <w:rPr>
          <w:rFonts w:ascii="Times New Roman" w:hAnsi="Times New Roman"/>
          <w:kern w:val="2"/>
          <w:lang w:val="zh-CN"/>
        </w:rPr>
      </w:pPr>
      <w:r>
        <w:rPr>
          <w:lang w:val="zh-CN"/>
        </w:rPr>
        <w:br w:type="page"/>
      </w:r>
    </w:p>
    <w:p>
      <w:pPr>
        <w:pStyle w:val="19"/>
        <w:adjustRightInd w:val="0"/>
        <w:snapToGrid w:val="0"/>
        <w:spacing w:line="360" w:lineRule="auto"/>
        <w:ind w:firstLine="480"/>
        <w:rPr>
          <w:sz w:val="24"/>
          <w:lang w:val="zh-CN"/>
        </w:rPr>
      </w:pPr>
      <w:bookmarkStart w:id="0" w:name="_Toc39501655"/>
      <w:bookmarkStart w:id="1" w:name="_Toc81642966"/>
      <w:bookmarkStart w:id="2" w:name="_Toc74738533"/>
      <w:r>
        <w:rPr>
          <w:sz w:val="24"/>
          <w:lang w:val="zh-CN"/>
        </w:rPr>
        <w:t>1.综述</w:t>
      </w:r>
      <w:bookmarkEnd w:id="0"/>
    </w:p>
    <w:p>
      <w:pPr>
        <w:pStyle w:val="19"/>
        <w:adjustRightInd w:val="0"/>
        <w:snapToGrid w:val="0"/>
        <w:spacing w:line="360" w:lineRule="auto"/>
        <w:ind w:firstLine="480"/>
        <w:rPr>
          <w:sz w:val="24"/>
          <w:lang w:val="zh-CN"/>
        </w:rPr>
      </w:pPr>
      <w:bookmarkStart w:id="3" w:name="_Toc39501656"/>
      <w:r>
        <w:rPr>
          <w:sz w:val="24"/>
          <w:lang w:val="zh-CN"/>
        </w:rPr>
        <w:t>1.1用途</w:t>
      </w:r>
      <w:bookmarkEnd w:id="3"/>
    </w:p>
    <w:p>
      <w:pPr>
        <w:pStyle w:val="19"/>
        <w:adjustRightInd w:val="0"/>
        <w:snapToGrid w:val="0"/>
        <w:spacing w:line="360" w:lineRule="auto"/>
        <w:ind w:firstLine="480"/>
        <w:rPr>
          <w:rFonts w:hint="eastAsia"/>
          <w:b/>
          <w:bCs/>
          <w:sz w:val="24"/>
          <w:lang w:val="zh-CN"/>
        </w:rPr>
      </w:pPr>
      <w:r>
        <w:rPr>
          <w:sz w:val="24"/>
          <w:lang w:val="zh-CN"/>
        </w:rPr>
        <w:t>本用户需求（以下简称URS）为湖北天圣药业有限公司</w:t>
      </w:r>
      <w:r>
        <w:rPr>
          <w:rFonts w:ascii="宋体" w:hAnsi="宋体" w:cs="宋体"/>
          <w:sz w:val="24"/>
          <w:lang w:val="es-ES"/>
        </w:rPr>
        <w:t>（</w:t>
      </w:r>
      <w:r>
        <w:rPr>
          <w:rFonts w:hint="eastAsia" w:ascii="宋体" w:hAnsi="宋体" w:cs="宋体"/>
          <w:sz w:val="24"/>
          <w:lang w:val="es-ES"/>
        </w:rPr>
        <w:t>以下简称</w:t>
      </w:r>
      <w:r>
        <w:rPr>
          <w:rFonts w:ascii="宋体" w:hAnsi="宋体" w:cs="宋体"/>
          <w:sz w:val="24"/>
          <w:lang w:val="es-ES"/>
        </w:rPr>
        <w:t>“</w:t>
      </w:r>
      <w:r>
        <w:rPr>
          <w:rFonts w:hint="eastAsia" w:ascii="宋体" w:hAnsi="宋体" w:cs="宋体"/>
          <w:sz w:val="24"/>
          <w:lang w:val="es-ES"/>
        </w:rPr>
        <w:t>湖北天圣</w:t>
      </w:r>
      <w:r>
        <w:rPr>
          <w:rFonts w:ascii="宋体" w:hAnsi="宋体" w:cs="宋体"/>
          <w:sz w:val="24"/>
          <w:lang w:val="es-ES"/>
        </w:rPr>
        <w:t>”）</w:t>
      </w:r>
      <w:r>
        <w:rPr>
          <w:rFonts w:hint="eastAsia" w:ascii="宋体" w:hAnsi="宋体" w:cs="宋体"/>
          <w:sz w:val="24"/>
          <w:lang w:val="es-ES"/>
        </w:rPr>
        <w:t>对“湖北天圣易短缺药品呋塞米注射液智能化工厂建设”项目中</w:t>
      </w:r>
      <w:r>
        <w:rPr>
          <w:rFonts w:hint="eastAsia" w:ascii="宋体" w:hAnsi="宋体" w:cs="宋体"/>
          <w:sz w:val="24"/>
          <w:highlight w:val="yellow"/>
          <w:lang w:val="es-ES"/>
        </w:rPr>
        <w:t>变频</w:t>
      </w:r>
      <w:r>
        <w:rPr>
          <w:rFonts w:hint="eastAsia"/>
          <w:sz w:val="24"/>
          <w:highlight w:val="yellow"/>
          <w:lang w:val="zh-CN"/>
        </w:rPr>
        <w:t>水冷螺杆式</w:t>
      </w:r>
      <w:r>
        <w:rPr>
          <w:sz w:val="24"/>
          <w:highlight w:val="yellow"/>
          <w:lang w:val="zh-CN"/>
        </w:rPr>
        <w:t>冷水机组</w:t>
      </w:r>
      <w:r>
        <w:rPr>
          <w:rFonts w:hint="eastAsia"/>
          <w:sz w:val="24"/>
          <w:highlight w:val="yellow"/>
          <w:lang w:val="zh-CN"/>
        </w:rPr>
        <w:t>、</w:t>
      </w:r>
      <w:r>
        <w:rPr>
          <w:rFonts w:hint="eastAsia"/>
          <w:sz w:val="24"/>
          <w:highlight w:val="yellow"/>
        </w:rPr>
        <w:t>2台冷冻水泵及水泵控制柜1台</w:t>
      </w:r>
      <w:r>
        <w:rPr>
          <w:sz w:val="24"/>
          <w:lang w:val="zh-CN"/>
        </w:rPr>
        <w:t>的基本要求，该机组为</w:t>
      </w:r>
      <w:r>
        <w:rPr>
          <w:rFonts w:hint="eastAsia"/>
          <w:sz w:val="24"/>
          <w:lang w:val="zh-CN"/>
        </w:rPr>
        <w:t>空调</w:t>
      </w:r>
      <w:r>
        <w:rPr>
          <w:sz w:val="24"/>
          <w:lang w:val="zh-CN"/>
        </w:rPr>
        <w:t>提供冷源全年运行，满足车间</w:t>
      </w:r>
      <w:r>
        <w:rPr>
          <w:rFonts w:hint="eastAsia"/>
          <w:sz w:val="24"/>
          <w:lang w:val="zh-CN"/>
        </w:rPr>
        <w:t>洁净区及一般生产区空调冷量</w:t>
      </w:r>
      <w:r>
        <w:rPr>
          <w:sz w:val="24"/>
          <w:lang w:val="zh-CN"/>
        </w:rPr>
        <w:t>的需求。</w:t>
      </w:r>
      <w:r>
        <w:rPr>
          <w:rFonts w:hint="eastAsia"/>
          <w:sz w:val="24"/>
          <w:highlight w:val="yellow"/>
          <w:lang w:val="zh-CN"/>
        </w:rPr>
        <w:t>该冷水</w:t>
      </w:r>
      <w:r>
        <w:rPr>
          <w:sz w:val="24"/>
          <w:highlight w:val="yellow"/>
          <w:lang w:val="zh-CN"/>
        </w:rPr>
        <w:t>机组</w:t>
      </w:r>
      <w:r>
        <w:rPr>
          <w:rFonts w:hint="eastAsia"/>
          <w:sz w:val="24"/>
          <w:highlight w:val="yellow"/>
          <w:lang w:val="zh-CN"/>
        </w:rPr>
        <w:t>须</w:t>
      </w:r>
      <w:r>
        <w:rPr>
          <w:sz w:val="24"/>
          <w:highlight w:val="yellow"/>
          <w:lang w:val="zh-CN"/>
        </w:rPr>
        <w:t>并入BMS系统</w:t>
      </w:r>
      <w:r>
        <w:rPr>
          <w:rFonts w:hint="eastAsia"/>
          <w:sz w:val="24"/>
          <w:highlight w:val="yellow"/>
          <w:lang w:val="zh-CN"/>
        </w:rPr>
        <w:t>，配备数据采集器通讯模块</w:t>
      </w:r>
      <w:r>
        <w:rPr>
          <w:sz w:val="24"/>
          <w:highlight w:val="yellow"/>
          <w:lang w:val="zh-CN"/>
        </w:rPr>
        <w:t>。</w:t>
      </w:r>
      <w:r>
        <w:rPr>
          <w:rFonts w:hint="eastAsia"/>
          <w:b/>
          <w:bCs/>
          <w:sz w:val="24"/>
          <w:highlight w:val="yellow"/>
          <w:lang w:val="zh-CN"/>
        </w:rPr>
        <w:t>附图纸：《</w:t>
      </w:r>
      <w:r>
        <w:rPr>
          <w:rFonts w:hint="eastAsia"/>
          <w:b/>
          <w:bCs/>
          <w:sz w:val="24"/>
          <w:lang w:val="zh-CN"/>
        </w:rPr>
        <w:t>湖北天圣</w:t>
      </w:r>
      <w:r>
        <w:rPr>
          <w:b/>
          <w:bCs/>
          <w:sz w:val="24"/>
          <w:lang w:val="zh-CN"/>
        </w:rPr>
        <w:t>-车间-电气变更DQ-1-01_t3</w:t>
      </w:r>
      <w:r>
        <w:rPr>
          <w:rFonts w:hint="eastAsia"/>
          <w:b/>
          <w:bCs/>
          <w:sz w:val="24"/>
          <w:lang w:val="zh-CN"/>
        </w:rPr>
        <w:t xml:space="preserve">. </w:t>
      </w:r>
      <w:r>
        <w:rPr>
          <w:b/>
          <w:bCs/>
          <w:sz w:val="24"/>
          <w:lang w:val="zh-CN"/>
        </w:rPr>
        <w:t>D</w:t>
      </w:r>
      <w:r>
        <w:rPr>
          <w:rFonts w:hint="eastAsia"/>
          <w:b/>
          <w:bCs/>
          <w:sz w:val="24"/>
          <w:lang w:val="zh-CN"/>
        </w:rPr>
        <w:t>wg》、《湖北天圣水针车间暖通水系统修改图纸</w:t>
      </w:r>
      <w:r>
        <w:rPr>
          <w:b/>
          <w:bCs/>
          <w:sz w:val="24"/>
          <w:lang w:val="zh-CN"/>
        </w:rPr>
        <w:t>20240308</w:t>
      </w:r>
      <w:r>
        <w:rPr>
          <w:rFonts w:hint="eastAsia"/>
          <w:b/>
          <w:bCs/>
          <w:sz w:val="24"/>
          <w:lang w:val="zh-CN"/>
        </w:rPr>
        <w:t>.dwg》。</w:t>
      </w:r>
    </w:p>
    <w:p>
      <w:pPr>
        <w:pStyle w:val="19"/>
        <w:adjustRightInd w:val="0"/>
        <w:snapToGrid w:val="0"/>
        <w:spacing w:line="360" w:lineRule="auto"/>
        <w:ind w:firstLine="480"/>
        <w:rPr>
          <w:sz w:val="24"/>
          <w:lang w:val="zh-CN"/>
        </w:rPr>
      </w:pPr>
      <w:bookmarkStart w:id="4" w:name="_Toc39501657"/>
      <w:r>
        <w:rPr>
          <w:sz w:val="24"/>
          <w:lang w:val="zh-CN"/>
        </w:rPr>
        <w:t>1.2目的</w:t>
      </w:r>
      <w:bookmarkEnd w:id="4"/>
    </w:p>
    <w:p>
      <w:pPr>
        <w:pStyle w:val="19"/>
        <w:adjustRightInd w:val="0"/>
        <w:snapToGrid w:val="0"/>
        <w:spacing w:line="360" w:lineRule="auto"/>
        <w:ind w:firstLine="480"/>
        <w:rPr>
          <w:sz w:val="24"/>
          <w:lang w:val="zh-CN"/>
        </w:rPr>
      </w:pPr>
      <w:r>
        <w:rPr>
          <w:sz w:val="24"/>
          <w:lang w:val="zh-CN"/>
        </w:rPr>
        <w:t>本URS描述了水冷</w:t>
      </w:r>
      <w:r>
        <w:rPr>
          <w:rFonts w:hint="eastAsia"/>
          <w:sz w:val="24"/>
          <w:lang w:val="zh-CN"/>
        </w:rPr>
        <w:t>螺杆</w:t>
      </w:r>
      <w:r>
        <w:rPr>
          <w:sz w:val="24"/>
          <w:lang w:val="zh-CN"/>
        </w:rPr>
        <w:t>式冷水机组的各种基本需求，对设备的工作过程及功能的期望，设备生产商应在规定的时间内完成并达到本用户需求的设计目标和可接受的质量标准，从而使设备供应商所提供的设备满足我司的需求，并符合现行版中国GMP 标准。</w:t>
      </w:r>
    </w:p>
    <w:p>
      <w:pPr>
        <w:pStyle w:val="19"/>
        <w:adjustRightInd w:val="0"/>
        <w:snapToGrid w:val="0"/>
        <w:spacing w:line="360" w:lineRule="auto"/>
        <w:ind w:firstLine="480"/>
        <w:rPr>
          <w:sz w:val="24"/>
          <w:lang w:val="zh-CN"/>
        </w:rPr>
      </w:pPr>
      <w:bookmarkStart w:id="5" w:name="_Toc39501658"/>
      <w:r>
        <w:rPr>
          <w:sz w:val="24"/>
          <w:lang w:val="zh-CN"/>
        </w:rPr>
        <w:t>1.3范围</w:t>
      </w:r>
      <w:bookmarkEnd w:id="5"/>
    </w:p>
    <w:p>
      <w:pPr>
        <w:pStyle w:val="19"/>
        <w:adjustRightInd w:val="0"/>
        <w:snapToGrid w:val="0"/>
        <w:spacing w:line="360" w:lineRule="auto"/>
        <w:ind w:firstLine="480"/>
        <w:rPr>
          <w:sz w:val="24"/>
          <w:lang w:val="zh-CN"/>
        </w:rPr>
      </w:pPr>
      <w:r>
        <w:rPr>
          <w:sz w:val="24"/>
          <w:lang w:val="zh-CN"/>
        </w:rPr>
        <w:t>本文件的范围涉及到了对设备的要求，在设计、制造、组装时必须要按照URS来执行。本文件最终修订版是与选定的设备供应商签订购买协议的一个主要部分。与合同具有同等的法律效力。供应商要遵守本文件里的信息和条件以及购买条款和条件。</w:t>
      </w:r>
    </w:p>
    <w:p>
      <w:pPr>
        <w:pStyle w:val="19"/>
        <w:rPr>
          <w:lang w:val="zh-CN"/>
        </w:rPr>
      </w:pPr>
      <w:bookmarkStart w:id="6" w:name="_Toc39501665"/>
      <w:r>
        <w:rPr>
          <w:rFonts w:hint="eastAsia"/>
          <w:lang w:val="zh-CN"/>
        </w:rPr>
        <w:t>2.</w:t>
      </w:r>
      <w:r>
        <w:rPr>
          <w:lang w:val="zh-CN"/>
        </w:rPr>
        <w:t xml:space="preserve">术语 </w:t>
      </w:r>
    </w:p>
    <w:tbl>
      <w:tblPr>
        <w:tblStyle w:val="10"/>
        <w:tblW w:w="0" w:type="auto"/>
        <w:jc w:val="center"/>
        <w:tblLayout w:type="fixed"/>
        <w:tblCellMar>
          <w:top w:w="0" w:type="dxa"/>
          <w:left w:w="108" w:type="dxa"/>
          <w:bottom w:w="0" w:type="dxa"/>
          <w:right w:w="108" w:type="dxa"/>
        </w:tblCellMar>
      </w:tblPr>
      <w:tblGrid>
        <w:gridCol w:w="1563"/>
        <w:gridCol w:w="7736"/>
      </w:tblGrid>
      <w:tr>
        <w:tblPrEx>
          <w:tblCellMar>
            <w:top w:w="0" w:type="dxa"/>
            <w:left w:w="108" w:type="dxa"/>
            <w:bottom w:w="0" w:type="dxa"/>
            <w:right w:w="108" w:type="dxa"/>
          </w:tblCellMar>
        </w:tblPrEx>
        <w:trPr>
          <w:trHeight w:val="496" w:hRule="exact"/>
          <w:tblHeader/>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rFonts w:hAnsi="Times New Roman"/>
                <w:kern w:val="0"/>
              </w:rPr>
            </w:pPr>
            <w:r>
              <w:rPr>
                <w:kern w:val="0"/>
              </w:rPr>
              <w:t>缩写</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rFonts w:hAnsi="Times New Roman"/>
                <w:kern w:val="0"/>
              </w:rPr>
            </w:pPr>
            <w:r>
              <w:rPr>
                <w:kern w:val="0"/>
              </w:rPr>
              <w:t>解释</w:t>
            </w:r>
          </w:p>
        </w:tc>
      </w:tr>
      <w:tr>
        <w:tblPrEx>
          <w:tblCellMar>
            <w:top w:w="0" w:type="dxa"/>
            <w:left w:w="108" w:type="dxa"/>
            <w:bottom w:w="0" w:type="dxa"/>
            <w:right w:w="108" w:type="dxa"/>
          </w:tblCellMar>
        </w:tblPrEx>
        <w:trPr>
          <w:trHeight w:val="474"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URS</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User Requirements Specifications/</w:t>
            </w:r>
            <w:r>
              <w:rPr>
                <w:rFonts w:hAnsiTheme="minorEastAsia"/>
                <w:kern w:val="0"/>
              </w:rPr>
              <w:t>用户需求</w:t>
            </w:r>
          </w:p>
        </w:tc>
      </w:tr>
      <w:tr>
        <w:tblPrEx>
          <w:tblCellMar>
            <w:top w:w="0" w:type="dxa"/>
            <w:left w:w="108" w:type="dxa"/>
            <w:bottom w:w="0" w:type="dxa"/>
            <w:right w:w="108" w:type="dxa"/>
          </w:tblCellMar>
        </w:tblPrEx>
        <w:trPr>
          <w:trHeight w:val="450"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EHSQ</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Environment, Health &amp; Safety/</w:t>
            </w:r>
            <w:r>
              <w:rPr>
                <w:rFonts w:hAnsiTheme="minorEastAsia"/>
                <w:kern w:val="0"/>
              </w:rPr>
              <w:t>环境、健康与安全</w:t>
            </w:r>
          </w:p>
        </w:tc>
      </w:tr>
      <w:tr>
        <w:tblPrEx>
          <w:tblCellMar>
            <w:top w:w="0" w:type="dxa"/>
            <w:left w:w="108" w:type="dxa"/>
            <w:bottom w:w="0" w:type="dxa"/>
            <w:right w:w="108" w:type="dxa"/>
          </w:tblCellMar>
        </w:tblPrEx>
        <w:trPr>
          <w:trHeight w:val="409" w:hRule="exact"/>
          <w:jc w:val="center"/>
        </w:trPr>
        <w:tc>
          <w:tcPr>
            <w:tcW w:w="1563" w:type="dxa"/>
            <w:tcBorders>
              <w:top w:val="single" w:color="000000" w:sz="6" w:space="0"/>
              <w:left w:val="single" w:color="000000" w:sz="6" w:space="0"/>
              <w:bottom w:val="single" w:color="000000" w:sz="6" w:space="0"/>
              <w:right w:val="single" w:color="000000" w:sz="6" w:space="0"/>
            </w:tcBorders>
            <w:shd w:val="clear" w:color="auto" w:fill="FFFFFF"/>
            <w:tcMar>
              <w:top w:w="0" w:type="dxa"/>
              <w:left w:w="108" w:type="dxa"/>
              <w:bottom w:w="0" w:type="dxa"/>
              <w:right w:w="108" w:type="dxa"/>
            </w:tcMar>
            <w:vAlign w:val="center"/>
          </w:tcPr>
          <w:p>
            <w:pPr>
              <w:rPr>
                <w:kern w:val="0"/>
              </w:rPr>
            </w:pPr>
            <w:r>
              <w:rPr>
                <w:kern w:val="0"/>
              </w:rPr>
              <w:t>cFDA</w:t>
            </w:r>
          </w:p>
        </w:tc>
        <w:tc>
          <w:tcPr>
            <w:tcW w:w="7736" w:type="dxa"/>
            <w:tcBorders>
              <w:top w:val="single" w:color="000000" w:sz="6" w:space="0"/>
              <w:left w:val="single" w:color="000000" w:sz="6" w:space="0"/>
              <w:bottom w:val="single" w:color="000000" w:sz="6" w:space="0"/>
              <w:right w:val="single" w:color="000000" w:sz="6" w:space="0"/>
            </w:tcBorders>
            <w:shd w:val="clear" w:color="auto" w:fill="FFFFFF"/>
            <w:tcMar>
              <w:top w:w="0" w:type="dxa"/>
              <w:left w:w="108" w:type="dxa"/>
              <w:bottom w:w="0" w:type="dxa"/>
              <w:right w:w="108" w:type="dxa"/>
            </w:tcMar>
            <w:vAlign w:val="center"/>
          </w:tcPr>
          <w:p>
            <w:pPr>
              <w:rPr>
                <w:kern w:val="0"/>
              </w:rPr>
            </w:pPr>
            <w:r>
              <w:rPr>
                <w:kern w:val="0"/>
              </w:rPr>
              <w:t>China Food and Drug Administration /</w:t>
            </w:r>
            <w:r>
              <w:rPr>
                <w:rFonts w:hAnsiTheme="minorEastAsia"/>
                <w:kern w:val="0"/>
              </w:rPr>
              <w:t>国家食品药品监督管理局</w:t>
            </w:r>
          </w:p>
          <w:p>
            <w:pPr>
              <w:rPr>
                <w:kern w:val="0"/>
              </w:rPr>
            </w:pPr>
          </w:p>
        </w:tc>
      </w:tr>
      <w:tr>
        <w:tblPrEx>
          <w:tblCellMar>
            <w:top w:w="0" w:type="dxa"/>
            <w:left w:w="108" w:type="dxa"/>
            <w:bottom w:w="0" w:type="dxa"/>
            <w:right w:w="108" w:type="dxa"/>
          </w:tblCellMar>
        </w:tblPrEx>
        <w:trPr>
          <w:trHeight w:val="43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Manufacturing Practices/</w:t>
            </w:r>
            <w:r>
              <w:rPr>
                <w:rFonts w:hAnsiTheme="minorEastAsia"/>
                <w:kern w:val="0"/>
              </w:rPr>
              <w:t>药品生产质量管理规范</w:t>
            </w:r>
          </w:p>
        </w:tc>
      </w:tr>
      <w:tr>
        <w:tblPrEx>
          <w:tblCellMar>
            <w:top w:w="0" w:type="dxa"/>
            <w:left w:w="108" w:type="dxa"/>
            <w:bottom w:w="0" w:type="dxa"/>
            <w:right w:w="108" w:type="dxa"/>
          </w:tblCellMar>
        </w:tblPrEx>
        <w:trPr>
          <w:trHeight w:val="45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GAMP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Automation Manufacturing Practices/</w:t>
            </w:r>
            <w:r>
              <w:rPr>
                <w:rFonts w:hAnsiTheme="minorEastAsia"/>
                <w:kern w:val="0"/>
              </w:rPr>
              <w:t>良好的自动化制造规范</w:t>
            </w:r>
          </w:p>
        </w:tc>
      </w:tr>
      <w:tr>
        <w:tblPrEx>
          <w:tblCellMar>
            <w:top w:w="0" w:type="dxa"/>
            <w:left w:w="108" w:type="dxa"/>
            <w:bottom w:w="0" w:type="dxa"/>
            <w:right w:w="108" w:type="dxa"/>
          </w:tblCellMar>
        </w:tblPrEx>
        <w:trPr>
          <w:trHeight w:val="442"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cGMP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Current Good Manufacturing Practices/</w:t>
            </w:r>
            <w:r>
              <w:rPr>
                <w:rFonts w:hAnsiTheme="minorEastAsia"/>
                <w:kern w:val="0"/>
              </w:rPr>
              <w:t>动态药品生产管理规范</w:t>
            </w:r>
          </w:p>
        </w:tc>
      </w:tr>
      <w:tr>
        <w:tblPrEx>
          <w:tblCellMar>
            <w:top w:w="0" w:type="dxa"/>
            <w:left w:w="108" w:type="dxa"/>
            <w:bottom w:w="0" w:type="dxa"/>
            <w:right w:w="108" w:type="dxa"/>
          </w:tblCellMar>
        </w:tblPrEx>
        <w:trPr>
          <w:trHeight w:val="44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GEP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Engineering Practices/</w:t>
            </w:r>
            <w:r>
              <w:rPr>
                <w:rFonts w:hAnsiTheme="minorEastAsia"/>
                <w:kern w:val="0"/>
              </w:rPr>
              <w:t>良好的工程管理规范</w:t>
            </w:r>
          </w:p>
        </w:tc>
      </w:tr>
      <w:tr>
        <w:tblPrEx>
          <w:tblCellMar>
            <w:top w:w="0" w:type="dxa"/>
            <w:left w:w="108" w:type="dxa"/>
            <w:bottom w:w="0" w:type="dxa"/>
            <w:right w:w="108" w:type="dxa"/>
          </w:tblCellMar>
        </w:tblPrEx>
        <w:trPr>
          <w:trHeight w:val="454"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GDP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Documentation Practices/</w:t>
            </w:r>
            <w:r>
              <w:rPr>
                <w:rFonts w:hAnsiTheme="minorEastAsia"/>
                <w:kern w:val="0"/>
              </w:rPr>
              <w:t>良好的文件管理规范</w:t>
            </w:r>
          </w:p>
        </w:tc>
      </w:tr>
      <w:tr>
        <w:tblPrEx>
          <w:tblCellMar>
            <w:top w:w="0" w:type="dxa"/>
            <w:left w:w="108" w:type="dxa"/>
            <w:bottom w:w="0" w:type="dxa"/>
            <w:right w:w="108" w:type="dxa"/>
          </w:tblCellMar>
        </w:tblPrEx>
        <w:trPr>
          <w:trHeight w:val="43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P&amp;ID</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Piping &amp; Instrument Diagram/</w:t>
            </w:r>
            <w:r>
              <w:rPr>
                <w:rFonts w:hAnsiTheme="minorEastAsia"/>
                <w:kern w:val="0"/>
              </w:rPr>
              <w:t>管路和仪表流程图</w:t>
            </w:r>
          </w:p>
        </w:tc>
      </w:tr>
      <w:tr>
        <w:tblPrEx>
          <w:tblCellMar>
            <w:top w:w="0" w:type="dxa"/>
            <w:left w:w="108" w:type="dxa"/>
            <w:bottom w:w="0" w:type="dxa"/>
            <w:right w:w="108" w:type="dxa"/>
          </w:tblCellMar>
        </w:tblPrEx>
        <w:trPr>
          <w:trHeight w:val="459"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PLC</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Programmable Logic Controller/</w:t>
            </w:r>
            <w:r>
              <w:rPr>
                <w:rFonts w:hAnsiTheme="minorEastAsia"/>
                <w:kern w:val="0"/>
              </w:rPr>
              <w:t>可编程控制器</w:t>
            </w:r>
          </w:p>
        </w:tc>
      </w:tr>
      <w:tr>
        <w:tblPrEx>
          <w:tblCellMar>
            <w:top w:w="0" w:type="dxa"/>
            <w:left w:w="108" w:type="dxa"/>
            <w:bottom w:w="0" w:type="dxa"/>
            <w:right w:w="108" w:type="dxa"/>
          </w:tblCellMar>
        </w:tblPrEx>
        <w:trPr>
          <w:trHeight w:val="453"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FAT</w:t>
            </w:r>
          </w:p>
        </w:tc>
        <w:tc>
          <w:tcPr>
            <w:tcW w:w="7736" w:type="dxa"/>
            <w:tcBorders>
              <w:top w:val="single" w:color="000000" w:sz="6" w:space="0"/>
              <w:left w:val="single" w:color="000000" w:sz="6" w:space="0"/>
              <w:bottom w:val="single" w:color="000000" w:sz="6" w:space="0"/>
              <w:right w:val="single" w:color="000000" w:sz="4" w:space="0"/>
            </w:tcBorders>
            <w:tcMar>
              <w:top w:w="0" w:type="dxa"/>
              <w:left w:w="108" w:type="dxa"/>
              <w:bottom w:w="0" w:type="dxa"/>
              <w:right w:w="108" w:type="dxa"/>
            </w:tcMar>
            <w:vAlign w:val="center"/>
          </w:tcPr>
          <w:p>
            <w:pPr>
              <w:rPr>
                <w:kern w:val="0"/>
              </w:rPr>
            </w:pPr>
            <w:r>
              <w:rPr>
                <w:kern w:val="0"/>
              </w:rPr>
              <w:t>Factory acceptance testing/</w:t>
            </w:r>
            <w:r>
              <w:rPr>
                <w:rFonts w:hAnsiTheme="minorEastAsia"/>
                <w:kern w:val="0"/>
              </w:rPr>
              <w:t>工厂验收测试</w:t>
            </w:r>
          </w:p>
        </w:tc>
      </w:tr>
      <w:tr>
        <w:tblPrEx>
          <w:tblCellMar>
            <w:top w:w="0" w:type="dxa"/>
            <w:left w:w="108" w:type="dxa"/>
            <w:bottom w:w="0" w:type="dxa"/>
            <w:right w:w="108" w:type="dxa"/>
          </w:tblCellMar>
        </w:tblPrEx>
        <w:trPr>
          <w:trHeight w:val="444" w:hRule="exact"/>
          <w:jc w:val="center"/>
        </w:trPr>
        <w:tc>
          <w:tcPr>
            <w:tcW w:w="1563" w:type="dxa"/>
            <w:tcBorders>
              <w:top w:val="single" w:color="000000" w:sz="6" w:space="0"/>
              <w:left w:val="single" w:color="000000" w:sz="4"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SAT</w:t>
            </w:r>
          </w:p>
        </w:tc>
        <w:tc>
          <w:tcPr>
            <w:tcW w:w="7736" w:type="dxa"/>
            <w:tcBorders>
              <w:top w:val="single" w:color="000000" w:sz="6" w:space="0"/>
              <w:left w:val="single" w:color="000000" w:sz="6" w:space="0"/>
              <w:bottom w:val="single" w:color="000000" w:sz="6" w:space="0"/>
              <w:right w:val="single" w:color="000000" w:sz="4" w:space="0"/>
            </w:tcBorders>
            <w:tcMar>
              <w:top w:w="0" w:type="dxa"/>
              <w:left w:w="108" w:type="dxa"/>
              <w:bottom w:w="0" w:type="dxa"/>
              <w:right w:w="108" w:type="dxa"/>
            </w:tcMar>
            <w:vAlign w:val="center"/>
          </w:tcPr>
          <w:p>
            <w:pPr>
              <w:rPr>
                <w:kern w:val="0"/>
              </w:rPr>
            </w:pPr>
            <w:r>
              <w:rPr>
                <w:kern w:val="0"/>
              </w:rPr>
              <w:t>Site acceptance testing/</w:t>
            </w:r>
            <w:r>
              <w:rPr>
                <w:rFonts w:hAnsiTheme="minorEastAsia"/>
                <w:kern w:val="0"/>
              </w:rPr>
              <w:t>现场验收测试</w:t>
            </w:r>
          </w:p>
        </w:tc>
      </w:tr>
      <w:tr>
        <w:tblPrEx>
          <w:tblCellMar>
            <w:top w:w="0" w:type="dxa"/>
            <w:left w:w="108" w:type="dxa"/>
            <w:bottom w:w="0" w:type="dxa"/>
            <w:right w:w="108" w:type="dxa"/>
          </w:tblCellMar>
        </w:tblPrEx>
        <w:trPr>
          <w:trHeight w:val="465" w:hRule="exact"/>
          <w:jc w:val="center"/>
        </w:trPr>
        <w:tc>
          <w:tcPr>
            <w:tcW w:w="1563" w:type="dxa"/>
            <w:tcBorders>
              <w:top w:val="single" w:color="000000" w:sz="6" w:space="0"/>
              <w:left w:val="single" w:color="000000" w:sz="4" w:space="0"/>
              <w:bottom w:val="single" w:color="000000" w:sz="4" w:space="0"/>
              <w:right w:val="single" w:color="000000" w:sz="6" w:space="0"/>
            </w:tcBorders>
            <w:tcMar>
              <w:top w:w="0" w:type="dxa"/>
              <w:left w:w="108" w:type="dxa"/>
              <w:bottom w:w="0" w:type="dxa"/>
              <w:right w:w="108" w:type="dxa"/>
            </w:tcMar>
            <w:vAlign w:val="center"/>
          </w:tcPr>
          <w:p>
            <w:pPr>
              <w:rPr>
                <w:kern w:val="0"/>
              </w:rPr>
            </w:pPr>
            <w:r>
              <w:rPr>
                <w:kern w:val="0"/>
              </w:rPr>
              <w:t>SOP</w:t>
            </w:r>
          </w:p>
        </w:tc>
        <w:tc>
          <w:tcPr>
            <w:tcW w:w="7736" w:type="dxa"/>
            <w:tcBorders>
              <w:top w:val="single" w:color="000000" w:sz="6" w:space="0"/>
              <w:left w:val="single" w:color="000000" w:sz="6"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Standard operation Procedure /</w:t>
            </w:r>
            <w:r>
              <w:rPr>
                <w:rFonts w:hAnsiTheme="minorEastAsia"/>
                <w:kern w:val="0"/>
              </w:rPr>
              <w:t>标准操作规程</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FDS</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Function Design Specification/</w:t>
            </w:r>
            <w:r>
              <w:rPr>
                <w:rFonts w:hAnsiTheme="minorEastAsia"/>
                <w:kern w:val="0"/>
              </w:rPr>
              <w:t>功能设计说明</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DQ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Design Qualification</w:t>
            </w:r>
            <w:r>
              <w:rPr>
                <w:rFonts w:hAnsiTheme="minorEastAsia"/>
                <w:kern w:val="0"/>
              </w:rPr>
              <w:t>设计确认</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IQ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Installation Qualification</w:t>
            </w:r>
            <w:r>
              <w:rPr>
                <w:rFonts w:hAnsiTheme="minorEastAsia"/>
                <w:kern w:val="0"/>
              </w:rPr>
              <w:t>安装确认</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OQ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 xml:space="preserve">Operational Qualification </w:t>
            </w:r>
            <w:r>
              <w:rPr>
                <w:rFonts w:hAnsiTheme="minorEastAsia"/>
                <w:kern w:val="0"/>
              </w:rPr>
              <w:t>运行确认</w:t>
            </w:r>
          </w:p>
        </w:tc>
      </w:tr>
      <w:tr>
        <w:tblPrEx>
          <w:tblCellMar>
            <w:top w:w="0" w:type="dxa"/>
            <w:left w:w="108" w:type="dxa"/>
            <w:bottom w:w="0" w:type="dxa"/>
            <w:right w:w="108" w:type="dxa"/>
          </w:tblCellMar>
        </w:tblPrEx>
        <w:trPr>
          <w:trHeight w:val="45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PQ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 xml:space="preserve">Performance Qualification </w:t>
            </w:r>
            <w:r>
              <w:rPr>
                <w:rFonts w:hAnsiTheme="minorEastAsia"/>
                <w:kern w:val="0"/>
              </w:rPr>
              <w:t>性能确认</w:t>
            </w:r>
          </w:p>
        </w:tc>
      </w:tr>
    </w:tbl>
    <w:p>
      <w:pPr>
        <w:rPr>
          <w:b/>
        </w:rPr>
      </w:pPr>
    </w:p>
    <w:p>
      <w:pPr>
        <w:rPr>
          <w:rFonts w:hAnsi="Times New Roman"/>
          <w:b/>
        </w:rPr>
      </w:pPr>
      <w:r>
        <w:rPr>
          <w:rFonts w:hint="eastAsia"/>
          <w:b/>
        </w:rPr>
        <w:t>3.</w:t>
      </w:r>
      <w:r>
        <w:rPr>
          <w:b/>
        </w:rPr>
        <w:t>设备性能要求</w:t>
      </w:r>
    </w:p>
    <w:bookmarkEnd w:id="1"/>
    <w:bookmarkEnd w:id="2"/>
    <w:bookmarkEnd w:id="6"/>
    <w:tbl>
      <w:tblPr>
        <w:tblStyle w:val="10"/>
        <w:tblW w:w="497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5733"/>
        <w:gridCol w:w="1515"/>
        <w:gridCol w:w="9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3008"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95" w:type="pct"/>
            <w:tcBorders>
              <w:top w:val="single" w:color="auto" w:sz="12" w:space="0"/>
              <w:left w:val="single" w:color="auto" w:sz="4" w:space="0"/>
              <w:bottom w:val="single" w:color="auto" w:sz="4" w:space="0"/>
              <w:right w:val="single" w:color="auto" w:sz="4" w:space="0"/>
            </w:tcBorders>
            <w:shd w:val="solid" w:color="DDD9C3" w:fill="auto"/>
            <w:vAlign w:val="center"/>
          </w:tcPr>
          <w:p>
            <w:pPr>
              <w:jc w:val="center"/>
              <w:rPr>
                <w:kern w:val="0"/>
                <w:lang w:eastAsia="en-US"/>
              </w:rPr>
            </w:pPr>
            <w:r>
              <w:rPr>
                <w:kern w:val="0"/>
                <w:lang w:eastAsia="en-US"/>
              </w:rPr>
              <w:t>期望/必须</w:t>
            </w:r>
          </w:p>
        </w:tc>
        <w:tc>
          <w:tcPr>
            <w:tcW w:w="492" w:type="pct"/>
            <w:tcBorders>
              <w:top w:val="single" w:color="auto" w:sz="12" w:space="0"/>
              <w:left w:val="single" w:color="auto" w:sz="4" w:space="0"/>
              <w:bottom w:val="single" w:color="auto" w:sz="4" w:space="0"/>
              <w:right w:val="single" w:color="auto" w:sz="12" w:space="0"/>
            </w:tcBorders>
            <w:shd w:val="solid" w:color="DDD9C3" w:fill="auto"/>
            <w:vAlign w:val="center"/>
          </w:tcPr>
          <w:p>
            <w:pPr>
              <w:jc w:val="center"/>
              <w:rPr>
                <w:kern w:val="0"/>
                <w:lang w:eastAsia="en-US"/>
              </w:rPr>
            </w:pPr>
            <w:r>
              <w:rPr>
                <w:kern w:val="0"/>
                <w:lang w:eastAsia="en-US"/>
              </w:rPr>
              <w:t>制造商响应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URS01-01</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1.</w:t>
            </w:r>
            <w:r>
              <w:rPr>
                <w:rFonts w:hint="eastAsia"/>
                <w:kern w:val="0"/>
                <w:highlight w:val="yellow"/>
              </w:rPr>
              <w:t>变频</w:t>
            </w:r>
            <w:r>
              <w:rPr>
                <w:kern w:val="0"/>
                <w:highlight w:val="yellow"/>
              </w:rPr>
              <w:t>水冷</w:t>
            </w:r>
            <w:r>
              <w:rPr>
                <w:rFonts w:hint="eastAsia"/>
                <w:kern w:val="0"/>
                <w:highlight w:val="yellow"/>
              </w:rPr>
              <w:t>螺杆</w:t>
            </w:r>
            <w:r>
              <w:rPr>
                <w:kern w:val="0"/>
                <w:highlight w:val="yellow"/>
              </w:rPr>
              <w:t>式冷水机组</w:t>
            </w:r>
            <w:r>
              <w:rPr>
                <w:rFonts w:hint="eastAsia"/>
                <w:kern w:val="0"/>
              </w:rPr>
              <w:t>及配套设备</w:t>
            </w:r>
            <w:r>
              <w:rPr>
                <w:kern w:val="0"/>
              </w:rPr>
              <w:t>总体要求：安装于</w:t>
            </w:r>
            <w:r>
              <w:rPr>
                <w:rFonts w:hint="eastAsia"/>
                <w:kern w:val="0"/>
              </w:rPr>
              <w:t>车间</w:t>
            </w:r>
            <w:r>
              <w:rPr>
                <w:kern w:val="0"/>
              </w:rPr>
              <w:t>一楼，使用点在车间二楼，</w:t>
            </w:r>
            <w:r>
              <w:rPr>
                <w:kern w:val="0"/>
                <w:highlight w:val="yellow"/>
              </w:rPr>
              <w:t>详图纸设计参数。</w:t>
            </w:r>
          </w:p>
          <w:p>
            <w:pPr>
              <w:rPr>
                <w:kern w:val="0"/>
              </w:rPr>
            </w:pPr>
            <w:r>
              <w:rPr>
                <w:kern w:val="0"/>
              </w:rPr>
              <w:t>1）制冷量≥</w:t>
            </w:r>
            <w:r>
              <w:rPr>
                <w:rFonts w:hint="eastAsia"/>
                <w:kern w:val="0"/>
                <w:highlight w:val="yellow"/>
              </w:rPr>
              <w:t>1260</w:t>
            </w:r>
            <w:r>
              <w:rPr>
                <w:kern w:val="0"/>
                <w:highlight w:val="yellow"/>
              </w:rPr>
              <w:t>kW</w:t>
            </w:r>
            <w:r>
              <w:rPr>
                <w:kern w:val="0"/>
              </w:rPr>
              <w:t>，1台，全年制冷，制冷剂R134a；</w:t>
            </w:r>
          </w:p>
          <w:p>
            <w:pPr>
              <w:rPr>
                <w:kern w:val="0"/>
              </w:rPr>
            </w:pPr>
            <w:r>
              <w:rPr>
                <w:kern w:val="0"/>
              </w:rPr>
              <w:t>2）冷冻水进出水温度12/7℃，进出水管管径DN</w:t>
            </w:r>
            <w:r>
              <w:rPr>
                <w:rFonts w:hint="eastAsia"/>
                <w:kern w:val="0"/>
              </w:rPr>
              <w:t>2</w:t>
            </w:r>
            <w:r>
              <w:rPr>
                <w:kern w:val="0"/>
              </w:rPr>
              <w:t>00；</w:t>
            </w:r>
          </w:p>
          <w:p>
            <w:pPr>
              <w:rPr>
                <w:kern w:val="0"/>
              </w:rPr>
            </w:pPr>
            <w:r>
              <w:rPr>
                <w:kern w:val="0"/>
              </w:rPr>
              <w:t>3）冷却水进出温度3</w:t>
            </w:r>
            <w:r>
              <w:rPr>
                <w:rFonts w:hint="eastAsia"/>
                <w:kern w:val="0"/>
              </w:rPr>
              <w:t>0</w:t>
            </w:r>
            <w:r>
              <w:rPr>
                <w:kern w:val="0"/>
              </w:rPr>
              <w:t>/3</w:t>
            </w:r>
            <w:r>
              <w:rPr>
                <w:rFonts w:hint="eastAsia"/>
                <w:kern w:val="0"/>
              </w:rPr>
              <w:t>5</w:t>
            </w:r>
            <w:r>
              <w:rPr>
                <w:kern w:val="0"/>
              </w:rPr>
              <w:t>℃；</w:t>
            </w:r>
          </w:p>
          <w:p>
            <w:pPr>
              <w:rPr>
                <w:kern w:val="0"/>
              </w:rPr>
            </w:pPr>
            <w:r>
              <w:rPr>
                <w:kern w:val="0"/>
              </w:rPr>
              <w:t>4）配套冷冻水流量≥</w:t>
            </w:r>
            <w:r>
              <w:rPr>
                <w:rFonts w:hint="eastAsia"/>
                <w:kern w:val="0"/>
              </w:rPr>
              <w:t>216m³</w:t>
            </w:r>
            <w:r>
              <w:rPr>
                <w:kern w:val="0"/>
              </w:rPr>
              <w:t>/h；</w:t>
            </w:r>
          </w:p>
          <w:p>
            <w:pPr>
              <w:rPr>
                <w:kern w:val="0"/>
              </w:rPr>
            </w:pPr>
            <w:r>
              <w:rPr>
                <w:kern w:val="0"/>
              </w:rPr>
              <w:t>5）配套冷却水流量≥</w:t>
            </w:r>
            <w:r>
              <w:rPr>
                <w:rFonts w:hint="eastAsia"/>
                <w:kern w:val="0"/>
              </w:rPr>
              <w:t>248m³</w:t>
            </w:r>
            <w:r>
              <w:rPr>
                <w:kern w:val="0"/>
              </w:rPr>
              <w:t>/h</w:t>
            </w:r>
            <w:r>
              <w:rPr>
                <w:rFonts w:hint="eastAsia"/>
                <w:kern w:val="0"/>
              </w:rPr>
              <w:t>，</w:t>
            </w:r>
            <w:r>
              <w:rPr>
                <w:kern w:val="0"/>
              </w:rPr>
              <w:t>进出水管管径DN</w:t>
            </w:r>
            <w:r>
              <w:rPr>
                <w:rFonts w:hint="eastAsia"/>
                <w:kern w:val="0"/>
              </w:rPr>
              <w:t>2</w:t>
            </w:r>
            <w:r>
              <w:rPr>
                <w:kern w:val="0"/>
              </w:rPr>
              <w:t>00</w:t>
            </w:r>
            <w:r>
              <w:rPr>
                <w:rFonts w:hint="eastAsia"/>
                <w:kern w:val="0"/>
              </w:rPr>
              <w:t>；</w:t>
            </w:r>
          </w:p>
          <w:p>
            <w:pPr>
              <w:rPr>
                <w:kern w:val="0"/>
              </w:rPr>
            </w:pPr>
            <w:r>
              <w:rPr>
                <w:rFonts w:hint="eastAsia"/>
                <w:kern w:val="0"/>
              </w:rPr>
              <w:t>6</w:t>
            </w:r>
            <w:r>
              <w:rPr>
                <w:kern w:val="0"/>
              </w:rPr>
              <w:t>）整机输入功率</w:t>
            </w:r>
            <w:r>
              <w:rPr>
                <w:rFonts w:hint="eastAsia"/>
                <w:kern w:val="0"/>
              </w:rPr>
              <w:t>200.9</w:t>
            </w:r>
            <w:r>
              <w:rPr>
                <w:kern w:val="0"/>
              </w:rPr>
              <w:t>KW；</w:t>
            </w:r>
          </w:p>
          <w:p>
            <w:pPr>
              <w:rPr>
                <w:kern w:val="0"/>
              </w:rPr>
            </w:pPr>
            <w:r>
              <w:rPr>
                <w:rFonts w:hint="eastAsia"/>
                <w:kern w:val="0"/>
              </w:rPr>
              <w:t>7）蒸发器/冷凝器承压限值：1.6/1.6MPa；</w:t>
            </w:r>
          </w:p>
          <w:p>
            <w:pPr>
              <w:rPr>
                <w:kern w:val="0"/>
              </w:rPr>
            </w:pPr>
            <w:r>
              <w:rPr>
                <w:rFonts w:hint="eastAsia"/>
                <w:kern w:val="0"/>
              </w:rPr>
              <w:t>8）蒸发器/冷凝器阻力：52.5/42.3KPa；</w:t>
            </w:r>
          </w:p>
          <w:p>
            <w:pPr>
              <w:rPr>
                <w:kern w:val="0"/>
              </w:rPr>
            </w:pPr>
            <w:r>
              <w:rPr>
                <w:rFonts w:hint="eastAsia"/>
                <w:kern w:val="0"/>
              </w:rPr>
              <w:t>9）冷冻水泵：首选卧式低噪音离心泵（</w:t>
            </w:r>
            <w:r>
              <w:rPr>
                <w:rFonts w:hint="eastAsia"/>
                <w:b/>
                <w:bCs/>
                <w:color w:val="FF0000"/>
                <w:kern w:val="0"/>
              </w:rPr>
              <w:t>投标方要现场查勘确认现有位置能否满足卧式离心水泵的安装空间需求；若空间不够，可以考虑选用立式低噪音离心泵</w:t>
            </w:r>
            <w:r>
              <w:rPr>
                <w:rFonts w:hint="eastAsia"/>
                <w:kern w:val="0"/>
              </w:rPr>
              <w:t>），</w:t>
            </w:r>
            <w:r>
              <w:rPr>
                <w:kern w:val="0"/>
              </w:rPr>
              <w:t>数量:2台(一用一备）</w:t>
            </w:r>
            <w:r>
              <w:rPr>
                <w:rFonts w:hint="eastAsia"/>
                <w:kern w:val="0"/>
              </w:rPr>
              <w:t>，变频，包含</w:t>
            </w:r>
            <w:r>
              <w:rPr>
                <w:rFonts w:hint="eastAsia"/>
                <w:kern w:val="0"/>
                <w:highlight w:val="yellow"/>
              </w:rPr>
              <w:t>变频控制柜（见图纸）</w:t>
            </w:r>
            <w:r>
              <w:rPr>
                <w:rFonts w:hint="eastAsia"/>
                <w:kern w:val="0"/>
              </w:rPr>
              <w:t>供应，</w:t>
            </w:r>
            <w:r>
              <w:rPr>
                <w:kern w:val="0"/>
              </w:rPr>
              <w:t>流量≥</w:t>
            </w:r>
            <w:r>
              <w:rPr>
                <w:rFonts w:hint="eastAsia"/>
                <w:kern w:val="0"/>
              </w:rPr>
              <w:t>240m³</w:t>
            </w:r>
            <w:r>
              <w:rPr>
                <w:kern w:val="0"/>
              </w:rPr>
              <w:t>/h</w:t>
            </w:r>
            <w:r>
              <w:rPr>
                <w:rFonts w:hint="eastAsia"/>
                <w:kern w:val="0"/>
              </w:rPr>
              <w:t>，功率：45KW，设计扬程：330kpa（</w:t>
            </w:r>
            <w:r>
              <w:rPr>
                <w:rFonts w:hint="eastAsia"/>
                <w:kern w:val="0"/>
                <w:highlight w:val="yellow"/>
              </w:rPr>
              <w:t>压力流量需满足二楼各使用点要求</w:t>
            </w:r>
            <w:r>
              <w:rPr>
                <w:rFonts w:hint="eastAsia"/>
                <w:kern w:val="0"/>
              </w:rPr>
              <w:t>），效率：82%，满足清水离心泵能效等级要求，</w:t>
            </w:r>
            <w:r>
              <w:rPr>
                <w:rFonts w:hint="eastAsia" w:ascii="Times New Roman" w:hAnsi="Times New Roman"/>
              </w:rPr>
              <w:t>水泵介质：清水，温度：﹤80℃，水泵应能满足一年365天，每天24小时不间断运转要求</w:t>
            </w:r>
            <w:r>
              <w:rPr>
                <w:rFonts w:hint="eastAsia"/>
                <w:kern w:val="0"/>
              </w:rPr>
              <w:t>。</w:t>
            </w:r>
          </w:p>
          <w:p>
            <w:pPr>
              <w:rPr>
                <w:kern w:val="0"/>
              </w:rPr>
            </w:pPr>
            <w:r>
              <w:rPr>
                <w:kern w:val="0"/>
              </w:rPr>
              <w:t>2.</w:t>
            </w:r>
            <w:r>
              <w:rPr>
                <w:kern w:val="0"/>
                <w:highlight w:val="yellow"/>
              </w:rPr>
              <w:t>由于设备安装现场条件所限，</w:t>
            </w:r>
            <w:r>
              <w:rPr>
                <w:rFonts w:hint="eastAsia"/>
                <w:b/>
                <w:bCs/>
                <w:color w:val="FF0000"/>
                <w:kern w:val="0"/>
                <w:highlight w:val="yellow"/>
              </w:rPr>
              <w:t>投标方</w:t>
            </w:r>
            <w:r>
              <w:rPr>
                <w:rFonts w:ascii="Times New Roman" w:hAnsi="Times New Roman"/>
                <w:b/>
                <w:bCs/>
                <w:color w:val="FF0000"/>
                <w:highlight w:val="yellow"/>
              </w:rPr>
              <w:t>需</w:t>
            </w:r>
            <w:r>
              <w:rPr>
                <w:rFonts w:hint="eastAsia" w:ascii="Times New Roman" w:hAnsi="Times New Roman"/>
                <w:b/>
                <w:bCs/>
                <w:color w:val="FF0000"/>
                <w:highlight w:val="yellow"/>
              </w:rPr>
              <w:t>现场查勘，</w:t>
            </w:r>
            <w:r>
              <w:rPr>
                <w:rFonts w:ascii="Times New Roman" w:hAnsi="Times New Roman"/>
                <w:highlight w:val="yellow"/>
              </w:rPr>
              <w:t>结合现场尺寸布置机组</w:t>
            </w:r>
            <w:r>
              <w:rPr>
                <w:rFonts w:hint="eastAsia" w:ascii="Times New Roman" w:hAnsi="Times New Roman"/>
                <w:highlight w:val="yellow"/>
              </w:rPr>
              <w:t>，</w:t>
            </w:r>
            <w:r>
              <w:rPr>
                <w:rFonts w:hint="eastAsia"/>
                <w:kern w:val="0"/>
                <w:highlight w:val="yellow"/>
              </w:rPr>
              <w:t>房间框架梁高度2.6米，安装空间宽只有2.8米，设备高度不能超过2.4米，宽度不能超过2米，</w:t>
            </w:r>
            <w:r>
              <w:rPr>
                <w:rFonts w:hint="eastAsia" w:ascii="Times New Roman" w:hAnsi="Times New Roman"/>
                <w:highlight w:val="yellow"/>
              </w:rPr>
              <w:t>机组宽度越小越好</w:t>
            </w:r>
            <w:r>
              <w:rPr>
                <w:rFonts w:hint="eastAsia"/>
                <w:kern w:val="0"/>
                <w:highlight w:val="yellow"/>
              </w:rPr>
              <w:t>。</w:t>
            </w:r>
            <w:r>
              <w:rPr>
                <w:kern w:val="0"/>
              </w:rPr>
              <w:t>本次招标设备为水冷</w:t>
            </w:r>
            <w:r>
              <w:rPr>
                <w:rFonts w:hint="eastAsia"/>
                <w:kern w:val="0"/>
              </w:rPr>
              <w:t>螺杆</w:t>
            </w:r>
            <w:r>
              <w:rPr>
                <w:kern w:val="0"/>
              </w:rPr>
              <w:t>式冷水机组，</w:t>
            </w:r>
            <w:r>
              <w:rPr>
                <w:kern w:val="0"/>
                <w:highlight w:val="yellow"/>
              </w:rPr>
              <w:t>要求投标人根据实际情况</w:t>
            </w:r>
            <w:r>
              <w:rPr>
                <w:rFonts w:hint="eastAsia"/>
                <w:kern w:val="0"/>
                <w:highlight w:val="yellow"/>
              </w:rPr>
              <w:t>核算现有冷却塔及冷却水泵流量是否满足投标冷水机组需求</w:t>
            </w:r>
            <w:r>
              <w:rPr>
                <w:rFonts w:hint="eastAsia"/>
                <w:kern w:val="0"/>
              </w:rPr>
              <w:t>，</w:t>
            </w:r>
            <w:r>
              <w:rPr>
                <w:kern w:val="0"/>
              </w:rPr>
              <w:t>将冷水机组、冷冻水泵、检测仪表、</w:t>
            </w:r>
            <w:r>
              <w:rPr>
                <w:rFonts w:hint="eastAsia"/>
                <w:kern w:val="0"/>
              </w:rPr>
              <w:t>控制柜</w:t>
            </w:r>
            <w:r>
              <w:rPr>
                <w:kern w:val="0"/>
              </w:rPr>
              <w:t>等部件</w:t>
            </w:r>
            <w:r>
              <w:rPr>
                <w:rFonts w:hint="eastAsia"/>
                <w:kern w:val="0"/>
              </w:rPr>
              <w:t>安装在一楼冷水机房室内。</w:t>
            </w:r>
          </w:p>
          <w:p>
            <w:pPr>
              <w:rPr>
                <w:kern w:val="0"/>
              </w:rPr>
            </w:pPr>
            <w:r>
              <w:rPr>
                <w:kern w:val="0"/>
              </w:rPr>
              <w:t>3.设备必须满足</w:t>
            </w:r>
            <w:r>
              <w:rPr>
                <w:rFonts w:hint="eastAsia"/>
                <w:kern w:val="0"/>
              </w:rPr>
              <w:t>保证冬季可以正常启动运行，室外低温、冷却循环水温度偏低时冷水机组也能正常运行</w:t>
            </w:r>
            <w:r>
              <w:rPr>
                <w:kern w:val="0"/>
              </w:rPr>
              <w:t>。</w:t>
            </w:r>
          </w:p>
          <w:p>
            <w:pPr>
              <w:rPr>
                <w:kern w:val="0"/>
              </w:rPr>
            </w:pPr>
            <w:r>
              <w:rPr>
                <w:kern w:val="0"/>
              </w:rPr>
              <w:t>4.</w:t>
            </w:r>
            <w:r>
              <w:rPr>
                <w:rFonts w:hint="eastAsia"/>
                <w:kern w:val="0"/>
              </w:rPr>
              <w:t>控制模式：微电脑全自动控制，机组能量调节范围：比例调节，带流量开关，自带启动装置、隔板装置（橡胶减震垫）。</w:t>
            </w:r>
          </w:p>
          <w:p>
            <w:pPr>
              <w:rPr>
                <w:kern w:val="0"/>
                <w:highlight w:val="yellow"/>
              </w:rPr>
            </w:pPr>
            <w:r>
              <w:rPr>
                <w:rFonts w:hint="eastAsia"/>
                <w:kern w:val="0"/>
              </w:rPr>
              <w:t>5.</w:t>
            </w:r>
            <w:r>
              <w:rPr>
                <w:rFonts w:hint="eastAsia"/>
                <w:kern w:val="0"/>
                <w:highlight w:val="yellow"/>
              </w:rPr>
              <w:t>自带控制柜、启动柜、变频柜。</w:t>
            </w:r>
          </w:p>
          <w:p>
            <w:pPr>
              <w:rPr>
                <w:rFonts w:eastAsia="华文细黑"/>
                <w:kern w:val="0"/>
                <w:highlight w:val="yellow"/>
              </w:rPr>
            </w:pPr>
            <w:r>
              <w:rPr>
                <w:rFonts w:hint="eastAsia"/>
                <w:kern w:val="0"/>
              </w:rPr>
              <w:t>6.</w:t>
            </w:r>
            <w:r>
              <w:rPr>
                <w:rFonts w:ascii="Times New Roman" w:hAnsi="Times New Roman"/>
              </w:rPr>
              <w:t>考虑到工厂负荷特性，要求机组能在过渡季节及冬季正常启动；投标人投标时应提供机组冷量在20%、30%、40%、50%、60%、70%、80%、90%、 100%的各个阶段的能耗参数，同时提供经过AHRI(550/590)组织认证的电脑选型纸和现场选型软件选型；</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URS01-02</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投标设备应满足运行期内每天24小时连续运行的需要</w:t>
            </w:r>
            <w:r>
              <w:rPr>
                <w:rFonts w:hint="eastAsia"/>
                <w:kern w:val="0"/>
              </w:rPr>
              <w:t>，</w:t>
            </w:r>
            <w:r>
              <w:rPr>
                <w:rFonts w:hint="eastAsia"/>
                <w:kern w:val="0"/>
                <w:highlight w:val="yellow"/>
              </w:rPr>
              <w:t>不存在启停次数限制。</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URS01-03</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所有部件及整机质量都由整机制造商负责，整机合格证应由整机制造商开具。设备的整机使用寿命不得低于2</w:t>
            </w:r>
            <w:r>
              <w:rPr>
                <w:rFonts w:hint="eastAsia"/>
                <w:kern w:val="0"/>
              </w:rPr>
              <w:t>5</w:t>
            </w:r>
            <w:r>
              <w:rPr>
                <w:kern w:val="0"/>
              </w:rPr>
              <w:t>年</w:t>
            </w:r>
            <w:r>
              <w:rPr>
                <w:rFonts w:hint="eastAsia"/>
                <w:kern w:val="0"/>
              </w:rPr>
              <w:t>。</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URS01-04</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7"/>
              <w:numPr>
                <w:ilvl w:val="0"/>
                <w:numId w:val="1"/>
              </w:numPr>
              <w:ind w:firstLineChars="0"/>
              <w:rPr>
                <w:kern w:val="0"/>
              </w:rPr>
            </w:pPr>
            <w:r>
              <w:rPr>
                <w:rFonts w:hint="eastAsia"/>
                <w:kern w:val="0"/>
              </w:rPr>
              <w:t xml:space="preserve"> </w:t>
            </w:r>
            <w:r>
              <w:rPr>
                <w:kern w:val="0"/>
              </w:rPr>
              <w:t>380V  50Hz；</w:t>
            </w:r>
          </w:p>
          <w:p>
            <w:pPr>
              <w:rPr>
                <w:kern w:val="0"/>
              </w:rPr>
            </w:pPr>
            <w:r>
              <w:rPr>
                <w:kern w:val="0"/>
              </w:rPr>
              <w:t>额定电压±5%可长期运行，额定</w:t>
            </w:r>
            <w:r>
              <w:rPr>
                <w:rFonts w:hint="eastAsia"/>
                <w:kern w:val="0"/>
              </w:rPr>
              <w:t>电</w:t>
            </w:r>
            <w:r>
              <w:rPr>
                <w:kern w:val="0"/>
              </w:rPr>
              <w:t>压±10%</w:t>
            </w:r>
            <w:r>
              <w:rPr>
                <w:rFonts w:hint="eastAsia"/>
              </w:rPr>
              <w:t>机组应能正常启动、运行。</w:t>
            </w:r>
          </w:p>
          <w:p>
            <w:pPr>
              <w:numPr>
                <w:ilvl w:val="0"/>
                <w:numId w:val="2"/>
              </w:numPr>
              <w:rPr>
                <w:lang w:val="zh-CN"/>
              </w:rPr>
            </w:pPr>
            <w:r>
              <w:rPr>
                <w:lang w:val="zh-CN"/>
              </w:rPr>
              <w:t>卖方应提供设备详</w:t>
            </w:r>
            <w:r>
              <w:rPr>
                <w:rFonts w:hint="eastAsia"/>
                <w:lang w:val="zh-CN"/>
              </w:rPr>
              <w:t>细安装图纸，</w:t>
            </w:r>
            <w:r>
              <w:rPr>
                <w:lang w:val="zh-CN"/>
              </w:rPr>
              <w:t>并协助用户完成</w:t>
            </w:r>
            <w:r>
              <w:rPr>
                <w:rFonts w:hint="eastAsia"/>
                <w:lang w:val="zh-CN"/>
              </w:rPr>
              <w:t>设备就位、</w:t>
            </w:r>
            <w:r>
              <w:rPr>
                <w:lang w:val="zh-CN"/>
              </w:rPr>
              <w:t>安装</w:t>
            </w:r>
            <w:r>
              <w:rPr>
                <w:rFonts w:hint="eastAsia"/>
                <w:lang w:val="zh-CN"/>
              </w:rPr>
              <w:t>和调试工作</w:t>
            </w:r>
            <w:r>
              <w:rPr>
                <w:lang w:val="zh-CN"/>
              </w:rPr>
              <w:t>。</w:t>
            </w:r>
          </w:p>
          <w:p>
            <w:pPr>
              <w:numPr>
                <w:ilvl w:val="0"/>
                <w:numId w:val="2"/>
              </w:numPr>
            </w:pPr>
            <w:r>
              <w:rPr>
                <w:rFonts w:ascii="Times New Roman" w:hAnsi="Times New Roman"/>
              </w:rPr>
              <w:t>在环境为0～46℃、空气相对湿度不大于85%的条件下，冷水机组应能正常工作。</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URS01-05</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该机组为</w:t>
            </w:r>
            <w:r>
              <w:rPr>
                <w:rFonts w:hint="eastAsia"/>
                <w:kern w:val="0"/>
              </w:rPr>
              <w:t>空调</w:t>
            </w:r>
            <w:r>
              <w:rPr>
                <w:kern w:val="0"/>
              </w:rPr>
              <w:t>提供冷源全年运行</w:t>
            </w:r>
            <w:r>
              <w:rPr>
                <w:rFonts w:hint="eastAsia"/>
                <w:kern w:val="0"/>
              </w:rPr>
              <w:t>，</w:t>
            </w:r>
            <w:r>
              <w:rPr>
                <w:rFonts w:hint="eastAsia"/>
                <w:kern w:val="0"/>
                <w:highlight w:val="yellow"/>
              </w:rPr>
              <w:t>在冬季低负荷工况也能运行</w:t>
            </w:r>
            <w:r>
              <w:rPr>
                <w:kern w:val="0"/>
                <w:highlight w:val="yellow"/>
              </w:rPr>
              <w:t>。</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URS01-06</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rFonts w:hint="eastAsia" w:cs="宋体"/>
                <w:kern w:val="0"/>
              </w:rPr>
              <w:t>PLC和触摸屏选择西门子品牌，预留以太网通讯接口。</w:t>
            </w:r>
            <w:r>
              <w:rPr>
                <w:kern w:val="0"/>
              </w:rPr>
              <w:t>具有友好人机界面，全中文显示</w:t>
            </w:r>
            <w:r>
              <w:rPr>
                <w:rFonts w:hint="eastAsia"/>
                <w:kern w:val="0"/>
              </w:rPr>
              <w:t>，</w:t>
            </w:r>
            <w:r>
              <w:rPr>
                <w:rFonts w:hint="eastAsia"/>
                <w:lang w:val="zh-CN"/>
              </w:rPr>
              <w:t>可实现远程控制功能</w:t>
            </w:r>
            <w:r>
              <w:rPr>
                <w:kern w:val="0"/>
              </w:rPr>
              <w:t>。</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URS01-07</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机组压缩机能效比（COP值）≥</w:t>
            </w:r>
            <w:r>
              <w:rPr>
                <w:rFonts w:hint="eastAsia"/>
                <w:kern w:val="0"/>
              </w:rPr>
              <w:t>6.3，IPLV值≥7.60</w:t>
            </w:r>
            <w:r>
              <w:rPr>
                <w:kern w:val="0"/>
              </w:rPr>
              <w:t>。</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URS01-08</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rFonts w:hint="eastAsia"/>
                <w:lang w:val="zh-CN"/>
              </w:rPr>
              <w:t>设备供应商必须保证所供</w:t>
            </w:r>
            <w:r>
              <w:rPr>
                <w:lang w:val="zh-CN"/>
              </w:rPr>
              <w:t>水冷螺杆冷水机</w:t>
            </w:r>
            <w:r>
              <w:t>组</w:t>
            </w:r>
            <w:r>
              <w:rPr>
                <w:rFonts w:hint="eastAsia"/>
              </w:rPr>
              <w:t>能够</w:t>
            </w:r>
            <w:r>
              <w:t>制</w:t>
            </w:r>
            <w:r>
              <w:rPr>
                <w:rFonts w:hint="eastAsia"/>
              </w:rPr>
              <w:t>备7/12</w:t>
            </w:r>
            <w:r>
              <w:t>℃冷</w:t>
            </w:r>
            <w:r>
              <w:rPr>
                <w:rFonts w:hint="eastAsia"/>
              </w:rPr>
              <w:t>冻</w:t>
            </w:r>
            <w:r>
              <w:t>水。</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URS01-09</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lang w:val="zh-CN"/>
              </w:rPr>
              <w:t>设备运行时间可</w:t>
            </w:r>
            <w:r>
              <w:rPr>
                <w:rFonts w:hint="eastAsia"/>
                <w:lang w:val="zh-CN"/>
              </w:rPr>
              <w:t>根据用户需求</w:t>
            </w:r>
            <w:r>
              <w:rPr>
                <w:lang w:val="zh-CN"/>
              </w:rPr>
              <w:t>设定</w:t>
            </w:r>
            <w:r>
              <w:rPr>
                <w:rFonts w:hint="eastAsia"/>
                <w:lang w:val="zh-CN"/>
              </w:rPr>
              <w:t>开机、关机时间。</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URS01-10</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rFonts w:hint="eastAsia"/>
              </w:rPr>
              <w:t>水冷螺杆式冷水机组</w:t>
            </w:r>
            <w:r>
              <w:rPr>
                <w:rFonts w:ascii="Times New Roman" w:hAnsi="Times New Roman"/>
              </w:rPr>
              <w:t>压缩机为密封型或半封闭型，并</w:t>
            </w:r>
            <w:r>
              <w:rPr>
                <w:rFonts w:hint="eastAsia" w:ascii="Times New Roman" w:hAnsi="Times New Roman"/>
              </w:rPr>
              <w:t>作出</w:t>
            </w:r>
            <w:r>
              <w:rPr>
                <w:rFonts w:ascii="Times New Roman" w:hAnsi="Times New Roman"/>
              </w:rPr>
              <w:t>说明</w:t>
            </w:r>
            <w:r>
              <w:rPr>
                <w:rFonts w:hint="eastAsia" w:ascii="Times New Roman" w:hAnsi="Times New Roman"/>
              </w:rPr>
              <w:t>。</w:t>
            </w:r>
            <w:r>
              <w:rPr>
                <w:rFonts w:ascii="Times New Roman" w:hAnsi="Times New Roman"/>
              </w:rPr>
              <w:t>压缩机、电机应采用国际一线品牌，并提供压缩机生产企业信息。</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URS01-1</w:t>
            </w:r>
            <w:r>
              <w:rPr>
                <w:rFonts w:hint="eastAsia"/>
                <w:kern w:val="0"/>
              </w:rPr>
              <w:t>1</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rFonts w:hint="eastAsia"/>
              </w:rPr>
              <w:t xml:space="preserve">水冷螺杆式冷水机组应包括（但不限于）：压缩机、冷凝器、膨胀阀、蒸发器、启动柜、控制柜、冷媒系统、润滑系统及保证机组运行的其它零配件。 </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URS01-1</w:t>
            </w:r>
            <w:r>
              <w:rPr>
                <w:rFonts w:hint="eastAsia"/>
                <w:kern w:val="0"/>
              </w:rPr>
              <w:t>2</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r>
              <w:rPr>
                <w:rFonts w:hint="eastAsia"/>
                <w:highlight w:val="yellow"/>
              </w:rPr>
              <w:t>机组须具备冷却水进水管路上安装的“分流型三通阀”的流量自动调节控制功能。</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URS01-1</w:t>
            </w:r>
            <w:r>
              <w:rPr>
                <w:rFonts w:hint="eastAsia"/>
                <w:kern w:val="0"/>
              </w:rPr>
              <w:t>3</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rFonts w:hint="eastAsia"/>
                <w:kern w:val="0"/>
              </w:rPr>
              <w:t>压缩机</w:t>
            </w:r>
            <w:r>
              <w:rPr>
                <w:kern w:val="0"/>
              </w:rPr>
              <w:t>：</w:t>
            </w:r>
          </w:p>
          <w:p>
            <w:pPr>
              <w:rPr>
                <w:rFonts w:ascii="Times New Roman" w:hAnsi="Times New Roman"/>
                <w:kern w:val="0"/>
                <w:szCs w:val="21"/>
                <w:highlight w:val="yellow"/>
              </w:rPr>
            </w:pPr>
            <w:r>
              <w:rPr>
                <w:rFonts w:hint="eastAsia"/>
                <w:kern w:val="0"/>
              </w:rPr>
              <w:t>1.</w:t>
            </w:r>
            <w:r>
              <w:rPr>
                <w:rFonts w:ascii="Times New Roman" w:hAnsi="Times New Roman"/>
                <w:kern w:val="0"/>
                <w:szCs w:val="21"/>
                <w:highlight w:val="yellow"/>
              </w:rPr>
              <w:t>压缩机采用变频启动，降低启动电流及对电网的冲击</w:t>
            </w:r>
            <w:r>
              <w:rPr>
                <w:rFonts w:hint="eastAsia" w:ascii="Times New Roman" w:hAnsi="Times New Roman"/>
                <w:kern w:val="0"/>
                <w:szCs w:val="21"/>
                <w:highlight w:val="yellow"/>
              </w:rPr>
              <w:t>；</w:t>
            </w:r>
          </w:p>
          <w:p>
            <w:pPr>
              <w:rPr>
                <w:rFonts w:ascii="Times New Roman" w:hAnsi="Times New Roman"/>
              </w:rPr>
            </w:pPr>
            <w:r>
              <w:rPr>
                <w:rFonts w:hint="eastAsia"/>
                <w:kern w:val="0"/>
              </w:rPr>
              <w:t>2.</w:t>
            </w:r>
            <w:r>
              <w:rPr>
                <w:rFonts w:ascii="Times New Roman" w:hAnsi="Times New Roman"/>
              </w:rPr>
              <w:t>压缩机</w:t>
            </w:r>
            <w:r>
              <w:rPr>
                <w:rFonts w:hint="eastAsia" w:ascii="Times New Roman" w:hAnsi="Times New Roman"/>
              </w:rPr>
              <w:t>：开利、约克、特灵等国际一线品牌；</w:t>
            </w:r>
          </w:p>
          <w:p>
            <w:pPr>
              <w:rPr>
                <w:rFonts w:ascii="Times New Roman" w:hAnsi="Times New Roman"/>
              </w:rPr>
            </w:pPr>
            <w:r>
              <w:rPr>
                <w:rFonts w:hint="eastAsia" w:ascii="Times New Roman" w:hAnsi="Times New Roman"/>
              </w:rPr>
              <w:t>3.</w:t>
            </w:r>
            <w:r>
              <w:rPr>
                <w:rFonts w:ascii="Times New Roman" w:hAnsi="Times New Roman"/>
              </w:rPr>
              <w:t>压缩机都经过严格的超速试验、动静平衡试验</w:t>
            </w:r>
            <w:r>
              <w:rPr>
                <w:rFonts w:hint="eastAsia" w:ascii="Times New Roman" w:hAnsi="Times New Roman"/>
              </w:rPr>
              <w:t>；</w:t>
            </w:r>
          </w:p>
          <w:p>
            <w:pPr>
              <w:rPr>
                <w:rFonts w:ascii="Times New Roman" w:hAnsi="Times New Roman"/>
              </w:rPr>
            </w:pPr>
            <w:r>
              <w:rPr>
                <w:rFonts w:hint="eastAsia" w:ascii="Times New Roman" w:hAnsi="Times New Roman"/>
              </w:rPr>
              <w:t>4.</w:t>
            </w:r>
            <w:r>
              <w:rPr>
                <w:rFonts w:ascii="Times New Roman" w:hAnsi="Times New Roman"/>
              </w:rPr>
              <w:t>压缩机电机必须采用冷媒冷却；</w:t>
            </w:r>
          </w:p>
          <w:p>
            <w:pPr>
              <w:rPr>
                <w:rFonts w:ascii="Times New Roman" w:hAnsi="Times New Roman"/>
              </w:rPr>
            </w:pPr>
            <w:r>
              <w:rPr>
                <w:rFonts w:hint="eastAsia" w:ascii="Times New Roman" w:hAnsi="Times New Roman"/>
              </w:rPr>
              <w:t>5.</w:t>
            </w:r>
            <w:r>
              <w:rPr>
                <w:rFonts w:ascii="Times New Roman" w:hAnsi="Times New Roman"/>
              </w:rPr>
              <w:t>压缩机有完善的供油系统；</w:t>
            </w:r>
          </w:p>
          <w:p>
            <w:pPr>
              <w:rPr>
                <w:rFonts w:ascii="Times New Roman" w:hAnsi="Times New Roman"/>
              </w:rPr>
            </w:pPr>
            <w:r>
              <w:rPr>
                <w:rFonts w:hint="eastAsia" w:ascii="Times New Roman" w:hAnsi="Times New Roman"/>
              </w:rPr>
              <w:t>6.</w:t>
            </w:r>
            <w:r>
              <w:rPr>
                <w:rFonts w:ascii="Times New Roman" w:hAnsi="Times New Roman"/>
              </w:rPr>
              <w:t>压缩机润滑油采用冷媒进行冷却；</w:t>
            </w:r>
          </w:p>
          <w:p>
            <w:pPr>
              <w:rPr>
                <w:rFonts w:ascii="Times New Roman" w:hAnsi="Times New Roman"/>
              </w:rPr>
            </w:pPr>
            <w:r>
              <w:rPr>
                <w:rFonts w:hint="eastAsia" w:ascii="Times New Roman" w:hAnsi="Times New Roman"/>
              </w:rPr>
              <w:t>7.</w:t>
            </w:r>
            <w:r>
              <w:rPr>
                <w:rFonts w:ascii="Times New Roman" w:hAnsi="Times New Roman"/>
              </w:rPr>
              <w:t>压缩机有完善的能量调节系统；</w:t>
            </w:r>
          </w:p>
          <w:p>
            <w:pPr>
              <w:rPr>
                <w:rFonts w:ascii="Times New Roman" w:hAnsi="Times New Roman"/>
                <w:kern w:val="0"/>
                <w:szCs w:val="21"/>
              </w:rPr>
            </w:pPr>
            <w:r>
              <w:rPr>
                <w:rFonts w:hint="eastAsia" w:ascii="Times New Roman" w:hAnsi="Times New Roman"/>
              </w:rPr>
              <w:t>8.</w:t>
            </w:r>
            <w:r>
              <w:rPr>
                <w:rFonts w:ascii="Times New Roman" w:hAnsi="Times New Roman"/>
                <w:kern w:val="0"/>
                <w:szCs w:val="21"/>
              </w:rPr>
              <w:t>压缩机可实现无级能量调节，保证稳定的出水温度，控制灵活方便，能量调节控制系统与冷冻水温度联动</w:t>
            </w:r>
            <w:r>
              <w:rPr>
                <w:rFonts w:hint="eastAsia" w:ascii="Times New Roman" w:hAnsi="Times New Roman"/>
                <w:kern w:val="0"/>
                <w:szCs w:val="21"/>
              </w:rPr>
              <w:t>；</w:t>
            </w:r>
          </w:p>
          <w:p>
            <w:pPr>
              <w:rPr>
                <w:color w:val="FF6633"/>
              </w:rPr>
            </w:pPr>
            <w:r>
              <w:rPr>
                <w:rFonts w:hint="eastAsia" w:ascii="Times New Roman" w:hAnsi="Times New Roman"/>
                <w:kern w:val="0"/>
                <w:szCs w:val="21"/>
              </w:rPr>
              <w:t>9.</w:t>
            </w:r>
            <w:r>
              <w:rPr>
                <w:rFonts w:hint="eastAsia"/>
              </w:rPr>
              <w:t>轴承选用</w:t>
            </w:r>
            <w:r>
              <w:rPr>
                <w:rFonts w:hint="eastAsia"/>
                <w:bCs/>
              </w:rPr>
              <w:t>高精度、高速、重载的</w:t>
            </w:r>
            <w:r>
              <w:rPr>
                <w:rFonts w:hint="eastAsia"/>
              </w:rPr>
              <w:t>进口轴承，压缩机轴承应为瑞典SKF、德国FAG品牌或</w:t>
            </w:r>
            <w:r>
              <w:rPr>
                <w:rFonts w:hint="eastAsia"/>
                <w:bCs/>
              </w:rPr>
              <w:t>其他</w:t>
            </w:r>
            <w:r>
              <w:rPr>
                <w:rFonts w:hint="eastAsia"/>
              </w:rPr>
              <w:t>相当</w:t>
            </w:r>
            <w:r>
              <w:rPr>
                <w:rFonts w:hint="eastAsia"/>
                <w:bCs/>
              </w:rPr>
              <w:t>品牌</w:t>
            </w:r>
            <w:r>
              <w:rPr>
                <w:rFonts w:hint="eastAsia"/>
              </w:rPr>
              <w:t>；</w:t>
            </w:r>
          </w:p>
          <w:p>
            <w:r>
              <w:rPr>
                <w:rFonts w:hint="eastAsia"/>
              </w:rPr>
              <w:t>在容许工作条件范围运转时，滚动轴承的基本额定寿命不小于100000小时；</w:t>
            </w:r>
          </w:p>
          <w:p>
            <w:pPr>
              <w:numPr>
                <w:ilvl w:val="0"/>
                <w:numId w:val="3"/>
              </w:numPr>
            </w:pPr>
            <w:r>
              <w:rPr>
                <w:rFonts w:hint="eastAsia"/>
              </w:rPr>
              <w:t>压缩机应有降低噪音的设计；</w:t>
            </w:r>
          </w:p>
          <w:p>
            <w:pPr>
              <w:numPr>
                <w:ilvl w:val="0"/>
                <w:numId w:val="3"/>
              </w:numPr>
            </w:pPr>
            <w:r>
              <w:rPr>
                <w:rFonts w:hint="eastAsia"/>
              </w:rPr>
              <w:t>压缩机内置油分离器油气分离效果要保证高于99%；</w:t>
            </w:r>
          </w:p>
          <w:p>
            <w:pPr>
              <w:numPr>
                <w:ilvl w:val="0"/>
                <w:numId w:val="3"/>
              </w:numPr>
            </w:pPr>
            <w:r>
              <w:rPr>
                <w:rFonts w:hint="eastAsia"/>
              </w:rPr>
              <w:t>压缩机应具有良好的润滑系统和装置，密封系统良好，能始终保持良好的运行状态；</w:t>
            </w:r>
          </w:p>
          <w:p>
            <w:pPr>
              <w:numPr>
                <w:ilvl w:val="0"/>
                <w:numId w:val="3"/>
              </w:numPr>
            </w:pPr>
            <w:r>
              <w:rPr>
                <w:rFonts w:hint="eastAsia"/>
              </w:rPr>
              <w:t>电机具备过热、过电流保护、过电压、欠电压保护、缺相、逆相保护；</w:t>
            </w:r>
          </w:p>
          <w:p>
            <w:pPr>
              <w:numPr>
                <w:ilvl w:val="0"/>
                <w:numId w:val="3"/>
              </w:numPr>
            </w:pPr>
            <w:r>
              <w:rPr>
                <w:rFonts w:hint="eastAsia"/>
              </w:rPr>
              <w:t>压缩机出口安装排气截止阀、排气止回阀，防止制冷剂在机组运行期间倒流；</w:t>
            </w:r>
          </w:p>
          <w:p>
            <w:pPr>
              <w:numPr>
                <w:ilvl w:val="0"/>
                <w:numId w:val="3"/>
              </w:numPr>
              <w:rPr>
                <w:rFonts w:ascii="Times New Roman" w:hAnsi="Times New Roman"/>
              </w:rPr>
            </w:pPr>
            <w:r>
              <w:rPr>
                <w:rFonts w:hint="eastAsia"/>
              </w:rPr>
              <w:t>压缩机各项性能应符合GB/T 19410-2008《螺杆式制冷压缩机》相关要求。</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URS01-1</w:t>
            </w:r>
            <w:r>
              <w:rPr>
                <w:rFonts w:hint="eastAsia"/>
                <w:kern w:val="0"/>
              </w:rPr>
              <w:t>4</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应在压缩机、蒸发器、制冷剂管路等低温部位敷设橡塑保温材料，避免机组冷量损失；保温材料应为阻燃型，在相对湿度90%、温度7～40℃时，不结露。所有仪表应易于观测、维护、检定或校准，质量稳定可靠，符合国家计量标准。</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URS01-1</w:t>
            </w:r>
            <w:r>
              <w:rPr>
                <w:rFonts w:hint="eastAsia"/>
                <w:kern w:val="0"/>
              </w:rPr>
              <w:t>5</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
              <w:rPr>
                <w:b w:val="0"/>
                <w:bCs/>
              </w:rPr>
            </w:pPr>
            <w:r>
              <w:rPr>
                <w:rFonts w:hint="eastAsia"/>
                <w:b w:val="0"/>
                <w:bCs/>
              </w:rPr>
              <w:t>冷凝器与蒸发器：</w:t>
            </w:r>
          </w:p>
          <w:p>
            <w:pPr>
              <w:numPr>
                <w:ilvl w:val="0"/>
                <w:numId w:val="4"/>
              </w:numPr>
            </w:pPr>
            <w:r>
              <w:rPr>
                <w:rFonts w:hint="eastAsia"/>
              </w:rPr>
              <w:t>冷凝器与蒸发器需由具备国家压力容器设计和制造许可证D级（含D级）以上资质的设备厂商供应；</w:t>
            </w:r>
          </w:p>
          <w:p>
            <w:pPr>
              <w:numPr>
                <w:ilvl w:val="0"/>
                <w:numId w:val="4"/>
              </w:numPr>
            </w:pPr>
            <w:r>
              <w:rPr>
                <w:rFonts w:hint="eastAsia"/>
              </w:rPr>
              <w:t>高效型机组蒸发器采用</w:t>
            </w:r>
            <w:r>
              <w:rPr>
                <w:rFonts w:hint="eastAsia"/>
                <w:b/>
                <w:bCs/>
              </w:rPr>
              <w:t>满液式蒸发器结构</w:t>
            </w:r>
            <w:r>
              <w:rPr>
                <w:rFonts w:hint="eastAsia"/>
              </w:rPr>
              <w:t>，蒸发器和冷凝器均采用卧式壳管式优质高效换热管；</w:t>
            </w:r>
          </w:p>
          <w:p>
            <w:pPr>
              <w:numPr>
                <w:ilvl w:val="0"/>
                <w:numId w:val="4"/>
              </w:numPr>
            </w:pPr>
            <w:r>
              <w:rPr>
                <w:rFonts w:hint="eastAsia"/>
              </w:rPr>
              <w:t>蒸发器、冷凝器需保证水侧经1.25Mpa、氟侧经1.6Mpa的压力试验；</w:t>
            </w:r>
          </w:p>
          <w:p>
            <w:pPr>
              <w:numPr>
                <w:ilvl w:val="0"/>
                <w:numId w:val="4"/>
              </w:numPr>
            </w:pPr>
            <w:r>
              <w:rPr>
                <w:rFonts w:hint="eastAsia"/>
              </w:rPr>
              <w:t>蒸发器、冷凝器应自带水流量开关，并与机组控制器连锁；</w:t>
            </w:r>
          </w:p>
          <w:p>
            <w:pPr>
              <w:numPr>
                <w:ilvl w:val="0"/>
                <w:numId w:val="4"/>
              </w:numPr>
            </w:pPr>
            <w:r>
              <w:rPr>
                <w:rFonts w:hint="eastAsia"/>
              </w:rPr>
              <w:t>蒸发器、冷凝器应自带排气阀；</w:t>
            </w:r>
          </w:p>
          <w:p>
            <w:pPr>
              <w:numPr>
                <w:ilvl w:val="0"/>
                <w:numId w:val="4"/>
              </w:numPr>
            </w:pPr>
            <w:r>
              <w:t>蒸发器制冷剂入口设置流量分配器，使机组在任何负荷下均能将液态制冷剂均匀分配到每根换热管，避免在部分负荷时，制冷剂分配不均造成部分换热管换热作用降低</w:t>
            </w:r>
            <w:r>
              <w:rPr>
                <w:rFonts w:hint="eastAsia"/>
              </w:rPr>
              <w:t>；</w:t>
            </w:r>
          </w:p>
          <w:p>
            <w:pPr>
              <w:numPr>
                <w:ilvl w:val="0"/>
                <w:numId w:val="4"/>
              </w:numPr>
            </w:pPr>
            <w:r>
              <w:rPr>
                <w:rFonts w:ascii="Times New Roman" w:hAnsi="Times New Roman"/>
                <w:kern w:val="0"/>
                <w:szCs w:val="21"/>
              </w:rPr>
              <w:t>蒸发器的设计应便于拆卸，易于维修保养。蒸发器列管可以单根更换，不影响管板的强度和寿命，不造成相邻管的泄露</w:t>
            </w:r>
            <w:r>
              <w:rPr>
                <w:rFonts w:hint="eastAsia" w:ascii="Times New Roman" w:hAnsi="Times New Roman"/>
                <w:kern w:val="0"/>
                <w:szCs w:val="21"/>
              </w:rPr>
              <w:t>；</w:t>
            </w:r>
          </w:p>
          <w:p>
            <w:pPr>
              <w:numPr>
                <w:ilvl w:val="0"/>
                <w:numId w:val="4"/>
              </w:numPr>
            </w:pPr>
            <w:r>
              <w:rPr>
                <w:rFonts w:ascii="Times New Roman" w:hAnsi="Times New Roman"/>
              </w:rPr>
              <w:t>冷凝器应采用高效换热管的满液式结构</w:t>
            </w:r>
            <w:r>
              <w:rPr>
                <w:rFonts w:hint="eastAsia" w:ascii="Times New Roman" w:hAnsi="Times New Roman"/>
              </w:rPr>
              <w:t>；</w:t>
            </w:r>
          </w:p>
          <w:p>
            <w:pPr>
              <w:numPr>
                <w:ilvl w:val="0"/>
                <w:numId w:val="4"/>
              </w:numPr>
            </w:pPr>
            <w:r>
              <w:rPr>
                <w:rFonts w:ascii="Times New Roman" w:hAnsi="Times New Roman"/>
              </w:rPr>
              <w:t>冷凝器应提供安全阀、排污阀</w:t>
            </w:r>
            <w:r>
              <w:rPr>
                <w:rFonts w:hint="eastAsia" w:ascii="Times New Roman" w:hAnsi="Times New Roman"/>
              </w:rPr>
              <w:t>；</w:t>
            </w:r>
          </w:p>
          <w:p>
            <w:pPr>
              <w:numPr>
                <w:ilvl w:val="0"/>
                <w:numId w:val="4"/>
              </w:numPr>
              <w:rPr>
                <w:kern w:val="0"/>
              </w:rPr>
            </w:pPr>
            <w:r>
              <w:rPr>
                <w:rFonts w:ascii="Times New Roman" w:hAnsi="Times New Roman"/>
              </w:rPr>
              <w:t>冷凝器应采用传热效率高的换热材料，其制作及试验应符合国家标准</w:t>
            </w:r>
            <w:r>
              <w:rPr>
                <w:rFonts w:hint="eastAsia" w:ascii="Times New Roman" w:hAnsi="Times New Roman"/>
              </w:rPr>
              <w:t>；</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URS01-1</w:t>
            </w:r>
            <w:r>
              <w:rPr>
                <w:rFonts w:hint="eastAsia"/>
                <w:kern w:val="0"/>
              </w:rPr>
              <w:t>6</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rPr>
            </w:pPr>
            <w:r>
              <w:rPr>
                <w:rFonts w:ascii="Times New Roman" w:hAnsi="Times New Roman"/>
              </w:rPr>
              <w:t>节流装置：</w:t>
            </w:r>
          </w:p>
          <w:p>
            <w:pPr>
              <w:rPr>
                <w:kern w:val="0"/>
              </w:rPr>
            </w:pPr>
            <w:r>
              <w:rPr>
                <w:rFonts w:ascii="Times New Roman" w:hAnsi="Times New Roman"/>
              </w:rPr>
              <w:t>节流装置采用高级别电子膨胀阀</w:t>
            </w:r>
            <w:r>
              <w:rPr>
                <w:rFonts w:hint="eastAsia" w:ascii="Times New Roman" w:hAnsi="Times New Roman"/>
              </w:rPr>
              <w:t>和无极滑阀</w:t>
            </w:r>
            <w:r>
              <w:rPr>
                <w:rFonts w:ascii="Times New Roman" w:hAnsi="Times New Roman"/>
              </w:rPr>
              <w:t>，以提高机组的部分调节能力。</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URS01-1</w:t>
            </w:r>
            <w:r>
              <w:rPr>
                <w:rFonts w:hint="eastAsia"/>
                <w:kern w:val="0"/>
              </w:rPr>
              <w:t>7</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设备电源系统、控制系统、冷却水系统布局合理、不相互影响。</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URS01-1</w:t>
            </w:r>
            <w:r>
              <w:rPr>
                <w:rFonts w:hint="eastAsia"/>
                <w:kern w:val="0"/>
              </w:rPr>
              <w:t>8</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设备的内部各零部件光洁、不得有任何油污、灰尘及其他物质。</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w:t>
            </w:r>
            <w:r>
              <w:rPr>
                <w:rFonts w:hint="eastAsia"/>
                <w:kern w:val="0"/>
              </w:rPr>
              <w:t>19</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设备不用时，机组内冷冻水、冷却水可完全排净。</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URS01-2</w:t>
            </w:r>
            <w:r>
              <w:rPr>
                <w:rFonts w:hint="eastAsia"/>
                <w:kern w:val="0"/>
              </w:rPr>
              <w:t>0</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t>距离设备1m,设备噪声小于80dB。</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URS01-2</w:t>
            </w:r>
            <w:r>
              <w:rPr>
                <w:rFonts w:hint="eastAsia"/>
                <w:kern w:val="0"/>
              </w:rPr>
              <w:t>1</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r>
              <w:t>机组必须具备“一键”智能控制，“傻瓜”式操作，只需一按即可自动运行机组，无需专人操作、专人值守。</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URS01-2</w:t>
            </w:r>
            <w:r>
              <w:rPr>
                <w:rFonts w:hint="eastAsia"/>
                <w:kern w:val="0"/>
              </w:rPr>
              <w:t>2</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r>
              <w:t>阀门位置适宜，便于操作。</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URS01-2</w:t>
            </w:r>
            <w:r>
              <w:rPr>
                <w:rFonts w:hint="eastAsia"/>
                <w:kern w:val="0"/>
              </w:rPr>
              <w:t>3</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r>
              <w:rPr>
                <w:rFonts w:ascii="Times New Roman" w:hAnsi="Times New Roman"/>
              </w:rPr>
              <w:t>冷水机组应在工厂内组装成整体并预先进行调试试验；</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URS01-2</w:t>
            </w:r>
            <w:r>
              <w:rPr>
                <w:rFonts w:hint="eastAsia"/>
                <w:kern w:val="0"/>
              </w:rPr>
              <w:t>4</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r>
              <w:t>主要的操作数据功能均在主机显示屏上读取、显示。</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URS01-2</w:t>
            </w:r>
            <w:r>
              <w:rPr>
                <w:rFonts w:hint="eastAsia"/>
                <w:kern w:val="0"/>
              </w:rPr>
              <w:t>5</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r>
              <w:rPr>
                <w:rFonts w:hint="eastAsia"/>
              </w:rPr>
              <w:t>机房面积有限，占地面积必须小，以便有足够的维修空间。</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URS01-2</w:t>
            </w:r>
            <w:r>
              <w:rPr>
                <w:rFonts w:hint="eastAsia"/>
                <w:kern w:val="0"/>
              </w:rPr>
              <w:t>6</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r>
              <w:rPr>
                <w:rFonts w:ascii="Times New Roman" w:hAnsi="Times New Roman"/>
              </w:rPr>
              <w:t>冷凝器与压缩机、蒸发器一起装于冷水机组统一底座内，以提高机组的运行安全性；</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rPr>
            </w:pPr>
            <w:r>
              <w:rPr>
                <w:kern w:val="0"/>
                <w:lang w:eastAsia="en-US"/>
              </w:rPr>
              <w:t>URS01-2</w:t>
            </w:r>
            <w:r>
              <w:rPr>
                <w:rFonts w:hint="eastAsia"/>
                <w:kern w:val="0"/>
              </w:rPr>
              <w:t>7</w:t>
            </w:r>
          </w:p>
        </w:tc>
        <w:tc>
          <w:tcPr>
            <w:tcW w:w="3008"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rPr>
            </w:pPr>
            <w:r>
              <w:rPr>
                <w:rFonts w:ascii="Times New Roman" w:hAnsi="Times New Roman"/>
              </w:rPr>
              <w:t>可根据冷水的出水温度与目标温度的差值自动调节机组负荷，使水温在最短的时间内达到要求，并将水温稳定。</w:t>
            </w:r>
          </w:p>
        </w:tc>
        <w:tc>
          <w:tcPr>
            <w:tcW w:w="795"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rPr>
            </w:pPr>
            <w:r>
              <w:rPr>
                <w:rFonts w:hint="eastAsia"/>
                <w:kern w:val="0"/>
              </w:rPr>
              <w:t>必需</w:t>
            </w:r>
          </w:p>
        </w:tc>
        <w:tc>
          <w:tcPr>
            <w:tcW w:w="49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bl>
    <w:p>
      <w:pPr>
        <w:rPr>
          <w:kern w:val="0"/>
          <w:lang w:eastAsia="en-US"/>
        </w:rPr>
      </w:pPr>
    </w:p>
    <w:p>
      <w:pPr>
        <w:rPr>
          <w:kern w:val="0"/>
          <w:lang w:eastAsia="en-US"/>
        </w:rPr>
      </w:pPr>
      <w:r>
        <w:rPr>
          <w:kern w:val="0"/>
          <w:lang w:eastAsia="en-US"/>
        </w:rPr>
        <w:t>4.电气与控制装置要求</w:t>
      </w:r>
    </w:p>
    <w:tbl>
      <w:tblPr>
        <w:tblStyle w:val="10"/>
        <w:tblW w:w="499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5608"/>
        <w:gridCol w:w="1509"/>
        <w:gridCol w:w="12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5608" w:type="dxa"/>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1509" w:type="dxa"/>
            <w:tcBorders>
              <w:top w:val="single" w:color="auto" w:sz="12" w:space="0"/>
              <w:left w:val="single" w:color="auto" w:sz="4" w:space="0"/>
              <w:bottom w:val="single" w:color="auto" w:sz="4" w:space="0"/>
              <w:right w:val="single" w:color="auto" w:sz="4" w:space="0"/>
            </w:tcBorders>
            <w:shd w:val="solid" w:color="DDD9C3" w:fill="auto"/>
            <w:vAlign w:val="center"/>
          </w:tcPr>
          <w:p>
            <w:pPr>
              <w:jc w:val="center"/>
              <w:rPr>
                <w:kern w:val="0"/>
                <w:lang w:eastAsia="en-US"/>
              </w:rPr>
            </w:pPr>
            <w:r>
              <w:rPr>
                <w:kern w:val="0"/>
                <w:lang w:eastAsia="en-US"/>
              </w:rPr>
              <w:t>期望/必须</w:t>
            </w:r>
          </w:p>
        </w:tc>
        <w:tc>
          <w:tcPr>
            <w:tcW w:w="1219" w:type="dxa"/>
            <w:tcBorders>
              <w:top w:val="single" w:color="auto" w:sz="12" w:space="0"/>
              <w:left w:val="single" w:color="auto" w:sz="4" w:space="0"/>
              <w:bottom w:val="single" w:color="auto" w:sz="4" w:space="0"/>
              <w:right w:val="single" w:color="auto" w:sz="12" w:space="0"/>
            </w:tcBorders>
            <w:shd w:val="solid" w:color="DDD9C3" w:fill="auto"/>
            <w:vAlign w:val="center"/>
          </w:tcPr>
          <w:p>
            <w:pPr>
              <w:jc w:val="center"/>
              <w:rPr>
                <w:kern w:val="0"/>
                <w:lang w:eastAsia="en-US"/>
              </w:rPr>
            </w:pPr>
            <w:r>
              <w:rPr>
                <w:kern w:val="0"/>
                <w:lang w:eastAsia="en-US"/>
              </w:rPr>
              <w:t>制造商响应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URS02-01</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机组内部线路应按国家或当地相关电气规范要求在厂内完成安装，应符合GB/T 18430.1产品标准规定。</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URS02-02</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电箱外连接线强、弱电分开走线，所有的线缆需走线槽，电线穿软管，避免线路暴露。</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URS02-03</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机组应在方便操作的区域设置紧急停机按钮，当按下该键时，系统应能立即关闭。当复位该按钮时，系统不会自动启动。</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URS02-04</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机组断电停机后，当恢复供电时，机组不能自动开机，必须人工启动。</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URS02-05</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机组必须有良好的接地保护，防止意外事故发生。</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URS02-06</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配电柜/控制柜应有防尘、防湿和防热功能，满足电气设备运行条件</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URS02-07</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控制器应保证在正常使用中，即使因误操作也不会对人身产生伤害或对机组设备产生严重损坏或对周围环境产生破坏。</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URS02-08</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机组控制系统采用触摸屏，方便操作，使用成熟控制技术。</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URS02-09</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机组自控装置应预留可升级设计，方便添加扩展模板,数字和模拟输入/输出模块等来满足特殊要求。</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URS02-10</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主要电控元件性能必须可靠，需采用西门子、ABB等知名品牌的产品。</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URS02-11</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机组控制系统应具备自动控制运行、参数设置、监测显示、安全保护、故障报警及查询、联网通讯等功能。</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URS02-12</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控制器应预留标准S485接口，通过公开的MODBUS协议（或其它公开协议），实现远程监控。</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URS02-13</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机组可实现远程操作，通过</w:t>
            </w:r>
            <w:r>
              <w:rPr>
                <w:rFonts w:hint="eastAsia"/>
                <w:kern w:val="0"/>
              </w:rPr>
              <w:t>互</w:t>
            </w:r>
            <w:r>
              <w:rPr>
                <w:kern w:val="0"/>
              </w:rPr>
              <w:t>联网，实时监控机组运行状态。</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URS02-14</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机组控制系统应</w:t>
            </w:r>
            <w:r>
              <w:rPr>
                <w:rFonts w:hint="eastAsia"/>
                <w:kern w:val="0"/>
                <w:highlight w:val="yellow"/>
              </w:rPr>
              <w:t>带远程通讯模块</w:t>
            </w:r>
            <w:r>
              <w:rPr>
                <w:rFonts w:hint="eastAsia"/>
                <w:kern w:val="0"/>
              </w:rPr>
              <w:t>，</w:t>
            </w:r>
            <w:r>
              <w:rPr>
                <w:kern w:val="0"/>
              </w:rPr>
              <w:t>预留有供用户使用的控制接点，包括：远程开关机接点、机组共同警报信号接点、水泵输出接点</w:t>
            </w:r>
            <w:r>
              <w:rPr>
                <w:rFonts w:hint="eastAsia"/>
                <w:kern w:val="0"/>
                <w:highlight w:val="yellow"/>
              </w:rPr>
              <w:t>（远程启停，运行，故障硬接线点位）</w:t>
            </w:r>
            <w:r>
              <w:rPr>
                <w:kern w:val="0"/>
                <w:highlight w:val="yellow"/>
              </w:rPr>
              <w:t>。</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URS02-15</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rPr>
              <w:t>应采用</w:t>
            </w:r>
            <w:r>
              <w:rPr>
                <w:rFonts w:hint="eastAsia"/>
                <w:kern w:val="0"/>
              </w:rPr>
              <w:t>西门子</w:t>
            </w:r>
            <w:r>
              <w:rPr>
                <w:kern w:val="0"/>
              </w:rPr>
              <w:t>彩色触摸屏,且尺寸不小于7英寸。控制界面要求全中文显示，美观简洁，具有完善的状态显示、参数设定、密码保护、故障查询等多项控制和显示功能。</w:t>
            </w:r>
            <w:r>
              <w:rPr>
                <w:kern w:val="0"/>
                <w:lang w:eastAsia="en-US"/>
              </w:rPr>
              <w:t>参数设置应具备记忆功能，断电长期保存。</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URS02-16</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系统出现故障时，可以通过系统自带的诊断功能，对故障进行分析判断。</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URS02-17</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控制系统应具备超前诊断功能，减少机组报警停机的机率</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URS02-18</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控制器应设置操作员、管理员、厂商三级密码保护功能</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URS02-19</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机组的安全保护项目包括（但不限于）以下内容：</w:t>
            </w:r>
          </w:p>
          <w:p>
            <w:pPr>
              <w:rPr>
                <w:kern w:val="0"/>
              </w:rPr>
            </w:pPr>
            <w:r>
              <w:rPr>
                <w:kern w:val="0"/>
              </w:rPr>
              <w:t>1.冷冻水温度过低保护；</w:t>
            </w:r>
          </w:p>
          <w:p>
            <w:pPr>
              <w:rPr>
                <w:kern w:val="0"/>
              </w:rPr>
            </w:pPr>
            <w:r>
              <w:rPr>
                <w:kern w:val="0"/>
              </w:rPr>
              <w:t>2.蒸发器温度/压力过低保护；</w:t>
            </w:r>
          </w:p>
          <w:p>
            <w:pPr>
              <w:rPr>
                <w:kern w:val="0"/>
              </w:rPr>
            </w:pPr>
            <w:r>
              <w:rPr>
                <w:kern w:val="0"/>
              </w:rPr>
              <w:t>3.冷凝器温度/压力过高保护；</w:t>
            </w:r>
          </w:p>
          <w:p>
            <w:pPr>
              <w:rPr>
                <w:kern w:val="0"/>
              </w:rPr>
            </w:pPr>
            <w:r>
              <w:rPr>
                <w:kern w:val="0"/>
              </w:rPr>
              <w:t>4.系统压差过低保护；</w:t>
            </w:r>
          </w:p>
          <w:p>
            <w:pPr>
              <w:rPr>
                <w:kern w:val="0"/>
              </w:rPr>
            </w:pPr>
            <w:r>
              <w:rPr>
                <w:kern w:val="0"/>
              </w:rPr>
              <w:t>5.排气温度过高保护；</w:t>
            </w:r>
          </w:p>
          <w:p>
            <w:pPr>
              <w:rPr>
                <w:kern w:val="0"/>
              </w:rPr>
            </w:pPr>
            <w:r>
              <w:rPr>
                <w:kern w:val="0"/>
              </w:rPr>
              <w:t>6.排气</w:t>
            </w:r>
            <w:r>
              <w:rPr>
                <w:rFonts w:hint="eastAsia"/>
                <w:kern w:val="0"/>
              </w:rPr>
              <w:t>温</w:t>
            </w:r>
            <w:r>
              <w:rPr>
                <w:kern w:val="0"/>
              </w:rPr>
              <w:t>度过低保护；</w:t>
            </w:r>
          </w:p>
          <w:p>
            <w:pPr>
              <w:rPr>
                <w:kern w:val="0"/>
              </w:rPr>
            </w:pPr>
            <w:r>
              <w:rPr>
                <w:kern w:val="0"/>
              </w:rPr>
              <w:t>7.温度传感器异常保护；</w:t>
            </w:r>
          </w:p>
          <w:p>
            <w:pPr>
              <w:rPr>
                <w:kern w:val="0"/>
              </w:rPr>
            </w:pPr>
            <w:r>
              <w:rPr>
                <w:kern w:val="0"/>
              </w:rPr>
              <w:t>8.节流装置故障保护；</w:t>
            </w:r>
          </w:p>
          <w:p>
            <w:pPr>
              <w:rPr>
                <w:kern w:val="0"/>
              </w:rPr>
            </w:pPr>
            <w:r>
              <w:rPr>
                <w:kern w:val="0"/>
              </w:rPr>
              <w:t>9.压缩机启动失败保护；</w:t>
            </w:r>
          </w:p>
          <w:p>
            <w:pPr>
              <w:rPr>
                <w:kern w:val="0"/>
              </w:rPr>
            </w:pPr>
            <w:r>
              <w:rPr>
                <w:kern w:val="0"/>
              </w:rPr>
              <w:t>10.压缩机油位过低保护；</w:t>
            </w:r>
          </w:p>
          <w:p>
            <w:pPr>
              <w:rPr>
                <w:kern w:val="0"/>
              </w:rPr>
            </w:pPr>
            <w:r>
              <w:rPr>
                <w:kern w:val="0"/>
              </w:rPr>
              <w:t>11.压缩机内部保护；</w:t>
            </w:r>
          </w:p>
          <w:p>
            <w:pPr>
              <w:rPr>
                <w:kern w:val="0"/>
              </w:rPr>
            </w:pPr>
            <w:r>
              <w:rPr>
                <w:kern w:val="0"/>
              </w:rPr>
              <w:t>12.压缩机外部过载保护；</w:t>
            </w:r>
          </w:p>
          <w:p>
            <w:pPr>
              <w:rPr>
                <w:kern w:val="0"/>
              </w:rPr>
            </w:pPr>
            <w:r>
              <w:rPr>
                <w:kern w:val="0"/>
              </w:rPr>
              <w:t>1</w:t>
            </w:r>
            <w:r>
              <w:rPr>
                <w:rFonts w:hint="eastAsia"/>
                <w:kern w:val="0"/>
              </w:rPr>
              <w:t>3</w:t>
            </w:r>
            <w:r>
              <w:rPr>
                <w:kern w:val="0"/>
              </w:rPr>
              <w:t>.冷冻水流</w:t>
            </w:r>
            <w:r>
              <w:rPr>
                <w:rFonts w:hint="eastAsia"/>
                <w:kern w:val="0"/>
              </w:rPr>
              <w:t>量</w:t>
            </w:r>
            <w:r>
              <w:rPr>
                <w:kern w:val="0"/>
              </w:rPr>
              <w:t>不足保护；</w:t>
            </w:r>
          </w:p>
          <w:p>
            <w:pPr>
              <w:rPr>
                <w:kern w:val="0"/>
              </w:rPr>
            </w:pPr>
            <w:r>
              <w:rPr>
                <w:kern w:val="0"/>
              </w:rPr>
              <w:t>1</w:t>
            </w:r>
            <w:r>
              <w:rPr>
                <w:rFonts w:hint="eastAsia"/>
                <w:kern w:val="0"/>
              </w:rPr>
              <w:t>4</w:t>
            </w:r>
            <w:r>
              <w:rPr>
                <w:kern w:val="0"/>
              </w:rPr>
              <w:t>.欠压、过压、欠相、逆相、相不平衡保护；</w:t>
            </w:r>
          </w:p>
          <w:p>
            <w:pPr>
              <w:rPr>
                <w:kern w:val="0"/>
              </w:rPr>
            </w:pPr>
            <w:r>
              <w:rPr>
                <w:kern w:val="0"/>
              </w:rPr>
              <w:t>1</w:t>
            </w:r>
            <w:r>
              <w:rPr>
                <w:rFonts w:hint="eastAsia"/>
                <w:kern w:val="0"/>
              </w:rPr>
              <w:t>5</w:t>
            </w:r>
            <w:r>
              <w:rPr>
                <w:kern w:val="0"/>
              </w:rPr>
              <w:t>.压力传感器错误报警；</w:t>
            </w:r>
          </w:p>
          <w:p>
            <w:pPr>
              <w:rPr>
                <w:kern w:val="0"/>
              </w:rPr>
            </w:pPr>
            <w:r>
              <w:rPr>
                <w:kern w:val="0"/>
              </w:rPr>
              <w:t>1</w:t>
            </w:r>
            <w:r>
              <w:rPr>
                <w:rFonts w:hint="eastAsia"/>
                <w:kern w:val="0"/>
              </w:rPr>
              <w:t>6.</w:t>
            </w:r>
            <w:r>
              <w:rPr>
                <w:kern w:val="0"/>
              </w:rPr>
              <w:t>压缩机频繁启停保护。</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12" w:space="0"/>
              <w:right w:val="single" w:color="auto" w:sz="4" w:space="0"/>
            </w:tcBorders>
            <w:shd w:val="clear" w:color="auto" w:fill="auto"/>
            <w:vAlign w:val="center"/>
          </w:tcPr>
          <w:p>
            <w:pPr>
              <w:rPr>
                <w:kern w:val="0"/>
                <w:lang w:eastAsia="en-US"/>
              </w:rPr>
            </w:pPr>
            <w:r>
              <w:rPr>
                <w:kern w:val="0"/>
                <w:lang w:eastAsia="en-US"/>
              </w:rPr>
              <w:t>URS02-20</w:t>
            </w:r>
          </w:p>
        </w:tc>
        <w:tc>
          <w:tcPr>
            <w:tcW w:w="5608" w:type="dxa"/>
            <w:tcBorders>
              <w:top w:val="single" w:color="auto" w:sz="4" w:space="0"/>
              <w:left w:val="single" w:color="auto" w:sz="4" w:space="0"/>
              <w:bottom w:val="single" w:color="auto" w:sz="12" w:space="0"/>
              <w:right w:val="single" w:color="auto" w:sz="4" w:space="0"/>
            </w:tcBorders>
            <w:shd w:val="clear" w:color="auto" w:fill="auto"/>
            <w:vAlign w:val="center"/>
          </w:tcPr>
          <w:p>
            <w:pPr>
              <w:rPr>
                <w:kern w:val="0"/>
              </w:rPr>
            </w:pPr>
            <w:r>
              <w:rPr>
                <w:kern w:val="0"/>
              </w:rPr>
              <w:t>触摸屏显示有关参数须包括（不限于）以下各项参数：</w:t>
            </w:r>
          </w:p>
          <w:p>
            <w:pPr>
              <w:rPr>
                <w:kern w:val="0"/>
              </w:rPr>
            </w:pPr>
            <w:r>
              <w:rPr>
                <w:kern w:val="0"/>
              </w:rPr>
              <w:t>1.冷冻水</w:t>
            </w:r>
            <w:r>
              <w:rPr>
                <w:rFonts w:hint="eastAsia"/>
                <w:kern w:val="0"/>
              </w:rPr>
              <w:t>、冷却水</w:t>
            </w:r>
            <w:r>
              <w:rPr>
                <w:kern w:val="0"/>
              </w:rPr>
              <w:t>进出水温度，设定水温及温差；</w:t>
            </w:r>
          </w:p>
          <w:p>
            <w:pPr>
              <w:rPr>
                <w:kern w:val="0"/>
              </w:rPr>
            </w:pPr>
            <w:r>
              <w:rPr>
                <w:kern w:val="0"/>
              </w:rPr>
              <w:t>2.机组运行状态、机组及压缩机容量；</w:t>
            </w:r>
          </w:p>
          <w:p>
            <w:pPr>
              <w:rPr>
                <w:kern w:val="0"/>
              </w:rPr>
            </w:pPr>
            <w:r>
              <w:rPr>
                <w:kern w:val="0"/>
              </w:rPr>
              <w:t>3.机组运行电流 ；</w:t>
            </w:r>
          </w:p>
          <w:p>
            <w:pPr>
              <w:rPr>
                <w:kern w:val="0"/>
              </w:rPr>
            </w:pPr>
            <w:r>
              <w:rPr>
                <w:kern w:val="0"/>
              </w:rPr>
              <w:t>4.机组排气压力、吸气压力 、吸排气压差；</w:t>
            </w:r>
          </w:p>
          <w:p>
            <w:pPr>
              <w:rPr>
                <w:kern w:val="0"/>
              </w:rPr>
            </w:pPr>
            <w:r>
              <w:rPr>
                <w:kern w:val="0"/>
              </w:rPr>
              <w:t>5.系统温度：压缩机排气温度、排气过热度；</w:t>
            </w:r>
          </w:p>
          <w:p>
            <w:pPr>
              <w:rPr>
                <w:kern w:val="0"/>
              </w:rPr>
            </w:pPr>
            <w:r>
              <w:rPr>
                <w:kern w:val="0"/>
              </w:rPr>
              <w:t>6.系统部件状态：压缩机运行状态</w:t>
            </w:r>
            <w:r>
              <w:rPr>
                <w:rFonts w:hint="eastAsia"/>
                <w:kern w:val="0"/>
              </w:rPr>
              <w:t>，压缩机高压、低压、油压、油温</w:t>
            </w:r>
            <w:r>
              <w:rPr>
                <w:kern w:val="0"/>
              </w:rPr>
              <w:t>；</w:t>
            </w:r>
          </w:p>
          <w:p>
            <w:pPr>
              <w:rPr>
                <w:kern w:val="0"/>
              </w:rPr>
            </w:pPr>
            <w:r>
              <w:rPr>
                <w:kern w:val="0"/>
              </w:rPr>
              <w:t>7.压缩机累计运转时间；</w:t>
            </w:r>
          </w:p>
          <w:p>
            <w:pPr>
              <w:rPr>
                <w:kern w:val="0"/>
              </w:rPr>
            </w:pPr>
            <w:r>
              <w:rPr>
                <w:kern w:val="0"/>
              </w:rPr>
              <w:t>8.报警</w:t>
            </w:r>
            <w:r>
              <w:rPr>
                <w:rFonts w:hint="eastAsia"/>
                <w:kern w:val="0"/>
              </w:rPr>
              <w:t>及故障显示，历史故障查询</w:t>
            </w:r>
            <w:r>
              <w:rPr>
                <w:kern w:val="0"/>
              </w:rPr>
              <w:t>；</w:t>
            </w:r>
          </w:p>
          <w:p>
            <w:pPr>
              <w:rPr>
                <w:kern w:val="0"/>
              </w:rPr>
            </w:pPr>
            <w:r>
              <w:rPr>
                <w:kern w:val="0"/>
              </w:rPr>
              <w:t>9.水温历史曲线。</w:t>
            </w:r>
          </w:p>
          <w:p>
            <w:pPr>
              <w:rPr>
                <w:kern w:val="0"/>
              </w:rPr>
            </w:pPr>
            <w:r>
              <w:rPr>
                <w:kern w:val="0"/>
              </w:rPr>
              <w:t>10.机组运行原理示意流程图</w:t>
            </w:r>
          </w:p>
        </w:tc>
        <w:tc>
          <w:tcPr>
            <w:tcW w:w="1509" w:type="dxa"/>
            <w:tcBorders>
              <w:top w:val="single" w:color="auto" w:sz="4" w:space="0"/>
              <w:left w:val="single" w:color="auto" w:sz="4" w:space="0"/>
              <w:bottom w:val="single" w:color="auto" w:sz="12" w:space="0"/>
              <w:right w:val="single" w:color="auto" w:sz="4" w:space="0"/>
            </w:tcBorders>
            <w:shd w:val="clear" w:color="auto" w:fill="auto"/>
            <w:vAlign w:val="center"/>
          </w:tcPr>
          <w:p>
            <w:pPr>
              <w:jc w:val="center"/>
              <w:rPr>
                <w:kern w:val="0"/>
                <w:lang w:eastAsia="en-US"/>
              </w:rPr>
            </w:pPr>
            <w:r>
              <w:rPr>
                <w:kern w:val="0"/>
                <w:lang w:eastAsia="en-US"/>
              </w:rPr>
              <w:t>必须</w:t>
            </w:r>
          </w:p>
        </w:tc>
        <w:tc>
          <w:tcPr>
            <w:tcW w:w="1219" w:type="dxa"/>
            <w:tcBorders>
              <w:top w:val="single" w:color="auto" w:sz="4" w:space="0"/>
              <w:left w:val="single" w:color="auto" w:sz="4" w:space="0"/>
              <w:bottom w:val="single" w:color="auto" w:sz="12" w:space="0"/>
              <w:right w:val="single" w:color="auto" w:sz="12" w:space="0"/>
            </w:tcBorders>
            <w:shd w:val="clear" w:color="auto" w:fill="auto"/>
            <w:vAlign w:val="center"/>
          </w:tcPr>
          <w:p>
            <w:pPr>
              <w:rPr>
                <w:kern w:val="0"/>
                <w:lang w:eastAsia="en-US"/>
              </w:rPr>
            </w:pPr>
          </w:p>
        </w:tc>
      </w:tr>
    </w:tbl>
    <w:p>
      <w:pPr>
        <w:rPr>
          <w:kern w:val="0"/>
          <w:lang w:eastAsia="en-US"/>
        </w:rPr>
      </w:pPr>
      <w:r>
        <w:rPr>
          <w:kern w:val="0"/>
          <w:lang w:eastAsia="en-US"/>
        </w:rPr>
        <w:t>5设施/公用系统要求</w:t>
      </w:r>
    </w:p>
    <w:tbl>
      <w:tblPr>
        <w:tblStyle w:val="10"/>
        <w:tblW w:w="526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9"/>
        <w:gridCol w:w="5730"/>
        <w:gridCol w:w="1516"/>
        <w:gridCol w:w="14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pct"/>
            <w:gridSpan w:val="2"/>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840"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52" w:type="pct"/>
            <w:tcBorders>
              <w:top w:val="single" w:color="auto" w:sz="12" w:space="0"/>
              <w:left w:val="single" w:color="auto" w:sz="4" w:space="0"/>
              <w:bottom w:val="single" w:color="auto" w:sz="4" w:space="0"/>
              <w:right w:val="single" w:color="auto" w:sz="4" w:space="0"/>
            </w:tcBorders>
            <w:shd w:val="solid" w:color="DDD9C3" w:fill="auto"/>
            <w:vAlign w:val="center"/>
          </w:tcPr>
          <w:p>
            <w:pPr>
              <w:jc w:val="both"/>
              <w:rPr>
                <w:kern w:val="0"/>
                <w:lang w:eastAsia="en-US"/>
              </w:rPr>
            </w:pPr>
            <w:r>
              <w:rPr>
                <w:kern w:val="0"/>
                <w:lang w:eastAsia="en-US"/>
              </w:rPr>
              <w:t>期望/必须</w:t>
            </w:r>
          </w:p>
        </w:tc>
        <w:tc>
          <w:tcPr>
            <w:tcW w:w="741"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27"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URS03-01</w:t>
            </w:r>
          </w:p>
        </w:tc>
        <w:tc>
          <w:tcPr>
            <w:tcW w:w="2844"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kern w:val="0"/>
              </w:rPr>
            </w:pPr>
            <w:r>
              <w:t>3相5线制电源，220/380V±10%V，50Hz。</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3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URS03-02</w:t>
            </w:r>
          </w:p>
        </w:tc>
        <w:tc>
          <w:tcPr>
            <w:tcW w:w="2844"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bCs/>
              </w:rPr>
            </w:pPr>
            <w:r>
              <w:rPr>
                <w:kern w:val="0"/>
              </w:rPr>
              <w:t>电气柜应有防尘、防湿、排热措施。电气柜所有金属部位应该正确接地。</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56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URS03-03</w:t>
            </w:r>
          </w:p>
        </w:tc>
        <w:tc>
          <w:tcPr>
            <w:tcW w:w="2844"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kern w:val="0"/>
              </w:rPr>
            </w:pPr>
            <w:r>
              <w:rPr>
                <w:kern w:val="0"/>
              </w:rPr>
              <w:t>采取符合GB/T5226中的规定等国家相关标准的防漏电及电气安全接地措施，接地电阻不大于0.1</w:t>
            </w:r>
            <w:r>
              <w:rPr>
                <w:kern w:val="0"/>
                <w:lang w:eastAsia="en-US"/>
              </w:rPr>
              <w:t>Ω</w:t>
            </w:r>
            <w:r>
              <w:rPr>
                <w:kern w:val="0"/>
              </w:rPr>
              <w:t>；绝缘等级F级。</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1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URS03-04</w:t>
            </w:r>
          </w:p>
        </w:tc>
        <w:tc>
          <w:tcPr>
            <w:tcW w:w="2844"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kern w:val="0"/>
                <w:lang w:eastAsia="en-US"/>
              </w:rPr>
            </w:pPr>
            <w:r>
              <w:rPr>
                <w:kern w:val="0"/>
              </w:rPr>
              <w:t>工作环境温度为-10℃至+40℃,相对湿度＜90%。</w:t>
            </w:r>
            <w:r>
              <w:rPr>
                <w:kern w:val="0"/>
                <w:lang w:eastAsia="en-US"/>
              </w:rPr>
              <w:t>（ 全年制冷）</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90"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URS03-05</w:t>
            </w:r>
          </w:p>
        </w:tc>
        <w:tc>
          <w:tcPr>
            <w:tcW w:w="2844"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kern w:val="0"/>
              </w:rPr>
            </w:pPr>
            <w:r>
              <w:rPr>
                <w:kern w:val="0"/>
              </w:rPr>
              <w:t>工作环境压力为常压。</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URS03-06</w:t>
            </w:r>
          </w:p>
        </w:tc>
        <w:tc>
          <w:tcPr>
            <w:tcW w:w="2844"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both"/>
              <w:rPr>
                <w:kern w:val="0"/>
              </w:rPr>
            </w:pPr>
            <w:r>
              <w:rPr>
                <w:kern w:val="0"/>
              </w:rPr>
              <w:t>冷媒水的温度设计为7-12℃,压力为0.2-0.4MPa。</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bl>
    <w:p>
      <w:pPr>
        <w:rPr>
          <w:kern w:val="0"/>
        </w:rPr>
      </w:pPr>
      <w:r>
        <w:rPr>
          <w:kern w:val="0"/>
        </w:rPr>
        <w:t>6.文件要求（包括但不限于以下内容）</w:t>
      </w:r>
    </w:p>
    <w:tbl>
      <w:tblPr>
        <w:tblStyle w:val="10"/>
        <w:tblW w:w="526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5725"/>
        <w:gridCol w:w="1516"/>
        <w:gridCol w:w="14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838"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52" w:type="pct"/>
            <w:tcBorders>
              <w:top w:val="single" w:color="auto" w:sz="12" w:space="0"/>
              <w:left w:val="single" w:color="auto" w:sz="4" w:space="0"/>
              <w:bottom w:val="single" w:color="auto" w:sz="4" w:space="0"/>
              <w:right w:val="single" w:color="auto" w:sz="4" w:space="0"/>
            </w:tcBorders>
            <w:shd w:val="solid" w:color="DDD9C3" w:fill="auto"/>
            <w:vAlign w:val="center"/>
          </w:tcPr>
          <w:p>
            <w:pPr>
              <w:jc w:val="center"/>
              <w:rPr>
                <w:kern w:val="0"/>
                <w:lang w:eastAsia="en-US"/>
              </w:rPr>
            </w:pPr>
            <w:r>
              <w:rPr>
                <w:kern w:val="0"/>
                <w:lang w:eastAsia="en-US"/>
              </w:rPr>
              <w:t>期望/必须</w:t>
            </w:r>
          </w:p>
        </w:tc>
        <w:tc>
          <w:tcPr>
            <w:tcW w:w="743"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27"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URS04-01</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提供企业资质：营业执照、特种设备加工许可证、政府相关部门鉴定证书等。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3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URS04-02</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提供所需文件清单。</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9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URS04-03</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提供功能设计说明：包括设备描述、操作步骤、有屏幕启动的HMI（触摸屏）功能、故障显示清单、互锁清单和图表（有功能和警报）、主要部件的关键清单、设备的特殊功能和规格数据单、设备示意图。</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1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URS04-04</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操作手册及图纸：设备安装说明或指南，设备主要部件及操作系统的操作和维修手册，预防性维修表，所有购买的重要的附属设备的操作和维修手册，每台设备建议性的操作、清洁和维修的SOP，设备和电器及控制系统图纸及备件清单、元件和仪器清单、工艺流程图、安装图纸、软件逻辑/操作和控制流程图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9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URS04-05</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证书及检测报告：设备原产地证明文件，直接/间接与产品接触的表面材质证书，仪器仪表的可追溯的国家标准及其校准程序和证书，润滑油型号、说明书及食物级别证书，每台设备和附属设备的质量保证书，如：PLC等，现场检测标准及检测报告（有检测数据和结果），控制系统输入/输出确认数据和报告，压力容器证书、设备安全证书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URS04-06</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提供设备和</w:t>
            </w:r>
            <w:r>
              <w:t>控制系统</w:t>
            </w:r>
            <w:r>
              <w:rPr>
                <w:kern w:val="0"/>
              </w:rPr>
              <w:t>验证所需资料：</w:t>
            </w:r>
            <w:r>
              <w:t xml:space="preserve"> DQ、IQ、OQ验证报告文件</w:t>
            </w:r>
            <w:r>
              <w:rPr>
                <w:kern w:val="0"/>
              </w:rPr>
              <w:t>，PQ验证方案文件（</w:t>
            </w:r>
            <w:r>
              <w:t>供方协助需方共同完成）</w:t>
            </w:r>
            <w:r>
              <w:rPr>
                <w:kern w:val="0"/>
              </w:rPr>
              <w:t>，SAT测试方案及报告书。</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bl>
    <w:p>
      <w:pPr>
        <w:rPr>
          <w:kern w:val="0"/>
          <w:lang w:eastAsia="en-US"/>
        </w:rPr>
      </w:pPr>
      <w:r>
        <w:rPr>
          <w:kern w:val="0"/>
          <w:lang w:eastAsia="en-US"/>
        </w:rPr>
        <w:t>7.服务与维修要求</w:t>
      </w:r>
    </w:p>
    <w:tbl>
      <w:tblPr>
        <w:tblStyle w:val="10"/>
        <w:tblW w:w="526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5407"/>
        <w:gridCol w:w="1845"/>
        <w:gridCol w:w="14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2"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682"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915" w:type="pct"/>
            <w:tcBorders>
              <w:top w:val="single" w:color="auto" w:sz="12" w:space="0"/>
              <w:left w:val="single" w:color="auto" w:sz="4" w:space="0"/>
              <w:bottom w:val="single" w:color="auto" w:sz="4" w:space="0"/>
              <w:right w:val="single" w:color="auto" w:sz="4" w:space="0"/>
            </w:tcBorders>
            <w:shd w:val="solid" w:color="DDD9C3" w:fill="auto"/>
            <w:vAlign w:val="center"/>
          </w:tcPr>
          <w:p>
            <w:pPr>
              <w:jc w:val="center"/>
              <w:rPr>
                <w:kern w:val="0"/>
                <w:lang w:eastAsia="en-US"/>
              </w:rPr>
            </w:pPr>
            <w:r>
              <w:rPr>
                <w:kern w:val="0"/>
                <w:lang w:eastAsia="en-US"/>
              </w:rPr>
              <w:t>期望/必须</w:t>
            </w:r>
          </w:p>
        </w:tc>
        <w:tc>
          <w:tcPr>
            <w:tcW w:w="741"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27"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URS05-01</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rPr>
              <w:t>质保期：所有产品均必须由中标人提供至少2年的全免费上门保修服务，并终身维护。（若国家/或生产厂家对本项目所涉及货物的质量保证期的规定高于本项目的要求，应按国家或/生产厂家的规定执行。</w:t>
            </w:r>
            <w:r>
              <w:rPr>
                <w:kern w:val="0"/>
                <w:lang w:eastAsia="en-US"/>
              </w:rPr>
              <w:t>具体由投标人在投标文件中作出承诺）</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3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URS05-02</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质保期为项目验收合格，由买卖双方签署验收合格证书并办理项目移交之日起算。中标人对项目货物及服务在质保期货物质量问题实行保修、包换、包退等服务</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9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URS05-03</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在质保期内如有设备或零件不能使用需更换，则该部分设备或部件质保期相应延长。所有设备在保修期内，如非人为原因出现产品质量问题，维修三次后仍然有故障，则必须无条件更换不低于同品牌、同型号新设备或作退货处理，所涉费用由中标人负责。</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1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URS05-04</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保修期外的设备维修只收零件费，维修人员的差旅费自理。</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9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URS05-05</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维修响应时间：维修服务2小时内响应，24小时内专业工程师到现场维修，故障须在3日内修复。</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URS05-06</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投标人必须提供售后技术支持中心的详细资料，提出质保期满后的收费维修和维护的内容、费用、服务方式、服务范围。</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kern w:val="0"/>
                <w:lang w:eastAsia="en-US"/>
              </w:rPr>
            </w:pPr>
            <w:r>
              <w:rPr>
                <w:lang w:eastAsia="en-US"/>
              </w:rPr>
              <w:t>必 需</w:t>
            </w:r>
          </w:p>
          <w:p>
            <w:pPr>
              <w:jc w:val="center"/>
              <w:rPr>
                <w:kern w:val="0"/>
                <w:lang w:eastAsia="en-US"/>
              </w:rPr>
            </w:pP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URS05-07</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在任何时候，投标人均不能免除因设备本身缺陷所应负的责任。投标人有义务对所提供的货物实行终身维护和对设备进行定期的检测与维护。</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URS05-08</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设备使用年限内免费升级操作软件，每年不少于1次维护保养。</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URS05-09</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中标人应提供正常情况下使用的备品备件清单（包括进口设备上的备品备件），方便用户从当地市场采购和更换。</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pPr>
            <w: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URS05-10</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零配件的提供：①卖方应提供在货物验收合格后可连续运行2年的备品备件；②在设备使用寿命内，卖方应保证设备零配件的供应，并提供优惠供应的承诺；③配套零配件齐全。</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URS05-11</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专用器具：提供本机使用的安装校正器具各一组；本机拆卸、保养专用工具一组。</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URS05-12</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运行维护：</w:t>
            </w:r>
            <w:r>
              <w:t>设备应能24小时连续运行。性能稳定可靠，除年检以外的其它检查或维护次数应尽量减少的最小。</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shd w:val="clear" w:color="auto" w:fill="FFFFFF"/>
          </w:tcPr>
          <w:p>
            <w:pPr>
              <w:rPr>
                <w:kern w:val="0"/>
                <w:lang w:eastAsia="en-US"/>
              </w:rPr>
            </w:pPr>
            <w:r>
              <w:rPr>
                <w:kern w:val="0"/>
                <w:lang w:eastAsia="en-US"/>
              </w:rPr>
              <w:t>URS05-13</w:t>
            </w:r>
          </w:p>
        </w:tc>
        <w:tc>
          <w:tcPr>
            <w:tcW w:w="2682" w:type="pct"/>
            <w:shd w:val="clear" w:color="auto" w:fill="FFFFFF"/>
            <w:vAlign w:val="center"/>
          </w:tcPr>
          <w:p>
            <w:pPr>
              <w:rPr>
                <w:kern w:val="0"/>
              </w:rPr>
            </w:pPr>
            <w:r>
              <w:rPr>
                <w:kern w:val="0"/>
              </w:rPr>
              <w:t>预防性维护：供方需提供预防性维护内容、维护周期表、设备完好状态和故障排除及维护方法。</w:t>
            </w:r>
          </w:p>
        </w:tc>
        <w:tc>
          <w:tcPr>
            <w:tcW w:w="915" w:type="pct"/>
            <w:shd w:val="clear" w:color="auto" w:fill="FFFFFF"/>
          </w:tcPr>
          <w:p>
            <w:pPr>
              <w:jc w:val="center"/>
              <w:rPr>
                <w:lang w:eastAsia="en-US"/>
              </w:rPr>
            </w:pPr>
            <w:r>
              <w:rPr>
                <w:lang w:eastAsia="en-US"/>
              </w:rPr>
              <w:t>必 需</w:t>
            </w:r>
          </w:p>
        </w:tc>
        <w:tc>
          <w:tcPr>
            <w:tcW w:w="741" w:type="pct"/>
            <w:shd w:val="clear" w:color="auto" w:fill="FFFFFF"/>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shd w:val="clear" w:color="auto" w:fill="FFFFFF"/>
          </w:tcPr>
          <w:p>
            <w:pPr>
              <w:rPr>
                <w:kern w:val="0"/>
                <w:lang w:eastAsia="en-US"/>
              </w:rPr>
            </w:pPr>
            <w:r>
              <w:rPr>
                <w:kern w:val="0"/>
                <w:lang w:eastAsia="en-US"/>
              </w:rPr>
              <w:t>URS05-14</w:t>
            </w:r>
          </w:p>
        </w:tc>
        <w:tc>
          <w:tcPr>
            <w:tcW w:w="2682" w:type="pct"/>
            <w:shd w:val="clear" w:color="auto" w:fill="FFFFFF"/>
            <w:vAlign w:val="center"/>
          </w:tcPr>
          <w:p>
            <w:pPr>
              <w:rPr>
                <w:kern w:val="0"/>
              </w:rPr>
            </w:pPr>
            <w:r>
              <w:rPr>
                <w:kern w:val="0"/>
              </w:rPr>
              <w:t>配件变更：技术文件签约后，任何配件标准发生变化，供方应及时通知需方，变更在双方确认后方可执行。</w:t>
            </w:r>
          </w:p>
        </w:tc>
        <w:tc>
          <w:tcPr>
            <w:tcW w:w="915" w:type="pct"/>
            <w:shd w:val="clear" w:color="auto" w:fill="FFFFFF"/>
          </w:tcPr>
          <w:p>
            <w:pPr>
              <w:jc w:val="center"/>
              <w:rPr>
                <w:lang w:eastAsia="en-US"/>
              </w:rPr>
            </w:pPr>
            <w:r>
              <w:rPr>
                <w:lang w:eastAsia="en-US"/>
              </w:rPr>
              <w:t>必 需</w:t>
            </w:r>
          </w:p>
        </w:tc>
        <w:tc>
          <w:tcPr>
            <w:tcW w:w="741" w:type="pct"/>
            <w:shd w:val="clear" w:color="auto" w:fill="FFFFFF"/>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shd w:val="clear" w:color="auto" w:fill="FFFFFF"/>
          </w:tcPr>
          <w:p>
            <w:pPr>
              <w:rPr>
                <w:kern w:val="0"/>
                <w:lang w:eastAsia="en-US"/>
              </w:rPr>
            </w:pPr>
            <w:r>
              <w:rPr>
                <w:kern w:val="0"/>
                <w:lang w:eastAsia="en-US"/>
              </w:rPr>
              <w:t>URS05-15</w:t>
            </w:r>
          </w:p>
        </w:tc>
        <w:tc>
          <w:tcPr>
            <w:tcW w:w="2682" w:type="pct"/>
            <w:shd w:val="clear" w:color="auto" w:fill="FFFFFF"/>
            <w:vAlign w:val="center"/>
          </w:tcPr>
          <w:p>
            <w:pPr>
              <w:rPr>
                <w:kern w:val="0"/>
              </w:rPr>
            </w:pPr>
            <w:r>
              <w:rPr>
                <w:kern w:val="0"/>
              </w:rPr>
              <w:t>设备免费保修期限2年，</w:t>
            </w:r>
            <w:r>
              <w:t>供方承担质保期内免费维修</w:t>
            </w:r>
            <w:r>
              <w:rPr>
                <w:kern w:val="0"/>
              </w:rPr>
              <w:t>。</w:t>
            </w:r>
          </w:p>
        </w:tc>
        <w:tc>
          <w:tcPr>
            <w:tcW w:w="915" w:type="pct"/>
            <w:shd w:val="clear" w:color="auto" w:fill="FFFFFF"/>
          </w:tcPr>
          <w:p>
            <w:pPr>
              <w:jc w:val="center"/>
              <w:rPr>
                <w:lang w:eastAsia="en-US"/>
              </w:rPr>
            </w:pPr>
            <w:r>
              <w:rPr>
                <w:lang w:eastAsia="en-US"/>
              </w:rPr>
              <w:t>必 需</w:t>
            </w:r>
          </w:p>
        </w:tc>
        <w:tc>
          <w:tcPr>
            <w:tcW w:w="741" w:type="pct"/>
            <w:shd w:val="clear" w:color="auto" w:fill="FFFFFF"/>
          </w:tcPr>
          <w:p>
            <w:pPr>
              <w:rPr>
                <w:kern w:val="0"/>
                <w:lang w:eastAsia="en-US"/>
              </w:rPr>
            </w:pPr>
          </w:p>
        </w:tc>
      </w:tr>
    </w:tbl>
    <w:p>
      <w:pPr>
        <w:rPr>
          <w:kern w:val="0"/>
          <w:lang w:eastAsia="en-US"/>
        </w:rPr>
      </w:pPr>
    </w:p>
    <w:sectPr>
      <w:headerReference r:id="rId5" w:type="default"/>
      <w:footerReference r:id="rId6" w:type="default"/>
      <w:pgSz w:w="11906" w:h="16838"/>
      <w:pgMar w:top="1418" w:right="1134" w:bottom="1134"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7"/>
      <w:gridCol w:w="2283"/>
      <w:gridCol w:w="1119"/>
      <w:gridCol w:w="1276"/>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restart"/>
          <w:vAlign w:val="center"/>
        </w:tcPr>
        <w:p>
          <w:pPr>
            <w:tabs>
              <w:tab w:val="center" w:pos="4320"/>
              <w:tab w:val="right" w:pos="8640"/>
            </w:tabs>
            <w:spacing w:line="240" w:lineRule="atLeast"/>
            <w:jc w:val="center"/>
            <w:rPr>
              <w:b/>
            </w:rPr>
          </w:pPr>
          <w:r>
            <w:drawing>
              <wp:inline distT="0" distB="0" distL="0" distR="0">
                <wp:extent cx="695325" cy="695325"/>
                <wp:effectExtent l="19050" t="0" r="9525" b="0"/>
                <wp:docPr id="1" name="图片 1" descr="181_214702538118_20180718114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81_214702538118_20180718114400"/>
                        <pic:cNvPicPr>
                          <a:picLocks noChangeAspect="1" noChangeArrowheads="1"/>
                        </pic:cNvPicPr>
                      </pic:nvPicPr>
                      <pic:blipFill>
                        <a:blip r:embed="rId1"/>
                        <a:srcRect/>
                        <a:stretch>
                          <a:fillRect/>
                        </a:stretch>
                      </pic:blipFill>
                      <pic:spPr>
                        <a:xfrm>
                          <a:off x="0" y="0"/>
                          <a:ext cx="695325" cy="695325"/>
                        </a:xfrm>
                        <a:prstGeom prst="rect">
                          <a:avLst/>
                        </a:prstGeom>
                        <a:noFill/>
                        <a:ln w="9525">
                          <a:noFill/>
                          <a:miter lim="800000"/>
                          <a:headEnd/>
                          <a:tailEnd/>
                        </a:ln>
                      </pic:spPr>
                    </pic:pic>
                  </a:graphicData>
                </a:graphic>
              </wp:inline>
            </w:drawing>
          </w:r>
        </w:p>
      </w:tc>
      <w:tc>
        <w:tcPr>
          <w:tcW w:w="2283" w:type="dxa"/>
          <w:vAlign w:val="center"/>
        </w:tcPr>
        <w:p>
          <w:pPr>
            <w:pStyle w:val="23"/>
            <w:ind w:left="360"/>
            <w:rPr>
              <w:rFonts w:ascii="宋体" w:hAnsi="宋体"/>
              <w:lang w:eastAsia="zh-CN"/>
            </w:rPr>
          </w:pPr>
          <w:r>
            <w:rPr>
              <w:rFonts w:ascii="宋体" w:hAnsi="宋体"/>
            </w:rPr>
            <w:t>文件编</w:t>
          </w:r>
          <w:r>
            <w:rPr>
              <w:rFonts w:hint="eastAsia" w:ascii="宋体" w:hAnsi="宋体"/>
              <w:lang w:eastAsia="zh-CN"/>
            </w:rPr>
            <w:t>号</w:t>
          </w:r>
        </w:p>
      </w:tc>
      <w:tc>
        <w:tcPr>
          <w:tcW w:w="4999" w:type="dxa"/>
          <w:gridSpan w:val="3"/>
          <w:vAlign w:val="center"/>
        </w:tcPr>
        <w:p>
          <w:pPr>
            <w:pStyle w:val="7"/>
            <w:ind w:left="480" w:hanging="480"/>
            <w:rPr>
              <w:sz w:val="24"/>
              <w:szCs w:val="24"/>
            </w:rPr>
          </w:pPr>
          <w:r>
            <w:rPr>
              <w:rFonts w:hint="eastAsia" w:cs="宋体"/>
              <w:sz w:val="24"/>
              <w:szCs w:val="24"/>
            </w:rPr>
            <w:t>文件编号：</w:t>
          </w:r>
          <w:r>
            <w:rPr>
              <w:sz w:val="24"/>
              <w:szCs w:val="24"/>
            </w:rPr>
            <w:t>URS-202</w:t>
          </w:r>
          <w:r>
            <w:rPr>
              <w:rFonts w:hint="eastAsia"/>
              <w:sz w:val="24"/>
              <w:szCs w:val="24"/>
            </w:rPr>
            <w:t>4</w:t>
          </w:r>
          <w:r>
            <w:rPr>
              <w:sz w:val="24"/>
              <w:szCs w:val="24"/>
            </w:rPr>
            <w:t>-</w:t>
          </w:r>
          <w:r>
            <w:rPr>
              <w:rFonts w:hint="eastAsia"/>
              <w:sz w:val="24"/>
              <w:szCs w:val="24"/>
            </w:rPr>
            <w:t>0315-7-1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continue"/>
          <w:vAlign w:val="center"/>
        </w:tcPr>
        <w:p>
          <w:pPr>
            <w:pStyle w:val="23"/>
            <w:ind w:left="360" w:firstLine="562"/>
            <w:rPr>
              <w:rFonts w:ascii="宋体" w:hAnsi="宋体"/>
              <w:b/>
            </w:rPr>
          </w:pPr>
        </w:p>
      </w:tc>
      <w:tc>
        <w:tcPr>
          <w:tcW w:w="2283" w:type="dxa"/>
          <w:vAlign w:val="center"/>
        </w:tcPr>
        <w:p>
          <w:pPr>
            <w:pStyle w:val="23"/>
            <w:ind w:left="266" w:leftChars="111" w:firstLine="170" w:firstLineChars="71"/>
            <w:rPr>
              <w:rFonts w:ascii="宋体" w:hAnsi="宋体"/>
            </w:rPr>
          </w:pPr>
          <w:r>
            <w:rPr>
              <w:rFonts w:ascii="宋体" w:hAnsi="宋体"/>
            </w:rPr>
            <w:t>文件名称</w:t>
          </w:r>
        </w:p>
      </w:tc>
      <w:tc>
        <w:tcPr>
          <w:tcW w:w="4999" w:type="dxa"/>
          <w:gridSpan w:val="3"/>
          <w:vAlign w:val="center"/>
        </w:tcPr>
        <w:p>
          <w:pPr>
            <w:pStyle w:val="23"/>
            <w:rPr>
              <w:rFonts w:ascii="宋体" w:hAnsi="宋体"/>
              <w:bCs/>
              <w:lang w:eastAsia="zh-CN"/>
            </w:rPr>
          </w:pPr>
          <w:r>
            <w:rPr>
              <w:lang w:eastAsia="zh-CN"/>
            </w:rPr>
            <w:t>水冷</w:t>
          </w:r>
          <w:r>
            <w:rPr>
              <w:rFonts w:hint="eastAsia"/>
              <w:lang w:eastAsia="zh-CN"/>
            </w:rPr>
            <w:t>螺杆</w:t>
          </w:r>
          <w:r>
            <w:rPr>
              <w:lang w:eastAsia="zh-CN"/>
            </w:rPr>
            <w:t>式冷水机组</w:t>
          </w:r>
          <w:r>
            <w:rPr>
              <w:rFonts w:hint="eastAsia" w:ascii="宋体" w:hAnsi="宋体"/>
              <w:bCs/>
              <w:lang w:eastAsia="zh-CN"/>
            </w:rPr>
            <w:t>用户需求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continue"/>
          <w:vAlign w:val="center"/>
        </w:tcPr>
        <w:p>
          <w:pPr>
            <w:pStyle w:val="23"/>
            <w:ind w:left="360" w:firstLine="562"/>
            <w:rPr>
              <w:rFonts w:ascii="宋体" w:hAnsi="宋体"/>
              <w:b/>
              <w:lang w:eastAsia="zh-CN"/>
            </w:rPr>
          </w:pPr>
        </w:p>
      </w:tc>
      <w:tc>
        <w:tcPr>
          <w:tcW w:w="2283" w:type="dxa"/>
          <w:vAlign w:val="center"/>
        </w:tcPr>
        <w:p>
          <w:pPr>
            <w:pStyle w:val="23"/>
            <w:ind w:left="266" w:leftChars="111" w:firstLine="170" w:firstLineChars="71"/>
            <w:rPr>
              <w:rFonts w:ascii="宋体" w:hAnsi="宋体"/>
            </w:rPr>
          </w:pPr>
          <w:r>
            <w:rPr>
              <w:rFonts w:hint="eastAsia" w:ascii="宋体" w:hAnsi="宋体"/>
            </w:rPr>
            <w:t>文件</w:t>
          </w:r>
          <w:r>
            <w:rPr>
              <w:rFonts w:ascii="宋体" w:hAnsi="宋体"/>
            </w:rPr>
            <w:t>版本</w:t>
          </w:r>
        </w:p>
      </w:tc>
      <w:tc>
        <w:tcPr>
          <w:tcW w:w="1119" w:type="dxa"/>
          <w:vAlign w:val="center"/>
        </w:tcPr>
        <w:p>
          <w:pPr>
            <w:pStyle w:val="23"/>
            <w:ind w:left="266" w:leftChars="111" w:firstLine="170" w:firstLineChars="71"/>
            <w:rPr>
              <w:rFonts w:ascii="宋体" w:hAnsi="宋体"/>
            </w:rPr>
          </w:pPr>
          <w:r>
            <w:rPr>
              <w:rFonts w:hint="eastAsia" w:ascii="宋体" w:hAnsi="宋体"/>
            </w:rPr>
            <w:t>0</w:t>
          </w:r>
          <w:r>
            <w:rPr>
              <w:rFonts w:ascii="宋体" w:hAnsi="宋体"/>
            </w:rPr>
            <w:t>1</w:t>
          </w:r>
        </w:p>
      </w:tc>
      <w:tc>
        <w:tcPr>
          <w:tcW w:w="1276" w:type="dxa"/>
          <w:vAlign w:val="center"/>
        </w:tcPr>
        <w:p>
          <w:pPr>
            <w:pStyle w:val="23"/>
            <w:ind w:left="360"/>
            <w:rPr>
              <w:rFonts w:ascii="宋体" w:hAnsi="宋体"/>
            </w:rPr>
          </w:pPr>
          <w:r>
            <w:rPr>
              <w:rFonts w:ascii="宋体" w:hAnsi="宋体"/>
            </w:rPr>
            <w:t>页码</w:t>
          </w:r>
        </w:p>
      </w:tc>
      <w:tc>
        <w:tcPr>
          <w:tcW w:w="2604" w:type="dxa"/>
          <w:vAlign w:val="center"/>
        </w:tcPr>
        <w:p>
          <w:pPr>
            <w:pStyle w:val="23"/>
            <w:ind w:left="266" w:leftChars="111"/>
            <w:rPr>
              <w:rFonts w:ascii="宋体" w:hAnsi="宋体"/>
            </w:rPr>
          </w:pPr>
          <w:r>
            <w:rPr>
              <w:rFonts w:ascii="宋体" w:hAnsi="宋体"/>
            </w:rPr>
            <w:t>第</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3</w:t>
          </w:r>
          <w:r>
            <w:rPr>
              <w:rFonts w:ascii="宋体" w:hAnsi="宋体"/>
            </w:rPr>
            <w:fldChar w:fldCharType="end"/>
          </w:r>
          <w:r>
            <w:rPr>
              <w:rFonts w:ascii="宋体" w:hAnsi="宋体"/>
            </w:rPr>
            <w:t>页，共</w:t>
          </w:r>
          <w:r>
            <w:fldChar w:fldCharType="begin"/>
          </w:r>
          <w:r>
            <w:instrText xml:space="preserve">NUMPAGES  \* Arabic  \* MERGEFORMAT</w:instrText>
          </w:r>
          <w:r>
            <w:fldChar w:fldCharType="separate"/>
          </w:r>
          <w:r>
            <w:rPr>
              <w:rFonts w:ascii="宋体" w:hAnsi="宋体"/>
              <w:bCs/>
              <w:lang w:val="zh-CN"/>
            </w:rPr>
            <w:t>15</w:t>
          </w:r>
          <w:r>
            <w:rPr>
              <w:rFonts w:ascii="宋体" w:hAnsi="宋体"/>
              <w:bCs/>
              <w:lang w:val="zh-CN"/>
            </w:rPr>
            <w:fldChar w:fldCharType="end"/>
          </w:r>
          <w:r>
            <w:rPr>
              <w:rFonts w:ascii="宋体" w:hAnsi="宋体"/>
            </w:rPr>
            <w:t>页</w:t>
          </w:r>
        </w:p>
      </w:tc>
    </w:tr>
  </w:tbl>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C3A088"/>
    <w:multiLevelType w:val="singleLevel"/>
    <w:tmpl w:val="D3C3A088"/>
    <w:lvl w:ilvl="0" w:tentative="0">
      <w:start w:val="2"/>
      <w:numFmt w:val="decimal"/>
      <w:lvlText w:val="%1."/>
      <w:lvlJc w:val="left"/>
      <w:pPr>
        <w:tabs>
          <w:tab w:val="left" w:pos="312"/>
        </w:tabs>
      </w:pPr>
    </w:lvl>
  </w:abstractNum>
  <w:abstractNum w:abstractNumId="1">
    <w:nsid w:val="DF584008"/>
    <w:multiLevelType w:val="singleLevel"/>
    <w:tmpl w:val="DF584008"/>
    <w:lvl w:ilvl="0" w:tentative="0">
      <w:start w:val="10"/>
      <w:numFmt w:val="decimal"/>
      <w:lvlText w:val="%1."/>
      <w:lvlJc w:val="left"/>
      <w:pPr>
        <w:tabs>
          <w:tab w:val="left" w:pos="312"/>
        </w:tabs>
      </w:pPr>
    </w:lvl>
  </w:abstractNum>
  <w:abstractNum w:abstractNumId="2">
    <w:nsid w:val="2AE34DC9"/>
    <w:multiLevelType w:val="singleLevel"/>
    <w:tmpl w:val="2AE34DC9"/>
    <w:lvl w:ilvl="0" w:tentative="0">
      <w:start w:val="1"/>
      <w:numFmt w:val="decimal"/>
      <w:lvlText w:val="%1."/>
      <w:lvlJc w:val="left"/>
      <w:pPr>
        <w:tabs>
          <w:tab w:val="left" w:pos="312"/>
        </w:tabs>
      </w:pPr>
    </w:lvl>
  </w:abstractNum>
  <w:abstractNum w:abstractNumId="3">
    <w:nsid w:val="63ED4990"/>
    <w:multiLevelType w:val="multilevel"/>
    <w:tmpl w:val="63ED499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c4NjM2Yjk5ZTI0YmMwZmI3YTg5YTM2N2EyNjI3OWUifQ=="/>
    <w:docVar w:name="KSO_WPS_MARK_KEY" w:val="5f8f2dc7-53a5-4b68-8d89-ec93186ec1fd"/>
  </w:docVars>
  <w:rsids>
    <w:rsidRoot w:val="00D35CF2"/>
    <w:rsid w:val="00025292"/>
    <w:rsid w:val="000A4E6D"/>
    <w:rsid w:val="000D3F13"/>
    <w:rsid w:val="00142AE1"/>
    <w:rsid w:val="00185B7B"/>
    <w:rsid w:val="001B64A8"/>
    <w:rsid w:val="00201FD5"/>
    <w:rsid w:val="0025122D"/>
    <w:rsid w:val="002A32A2"/>
    <w:rsid w:val="002A624F"/>
    <w:rsid w:val="00346D15"/>
    <w:rsid w:val="003C54E9"/>
    <w:rsid w:val="003F417C"/>
    <w:rsid w:val="003F43A1"/>
    <w:rsid w:val="0047131C"/>
    <w:rsid w:val="00476348"/>
    <w:rsid w:val="0048038B"/>
    <w:rsid w:val="004A179C"/>
    <w:rsid w:val="004D30B4"/>
    <w:rsid w:val="004D5C6E"/>
    <w:rsid w:val="005370EC"/>
    <w:rsid w:val="005A6316"/>
    <w:rsid w:val="005B717A"/>
    <w:rsid w:val="005C3D7E"/>
    <w:rsid w:val="00657A91"/>
    <w:rsid w:val="00673E5E"/>
    <w:rsid w:val="006A5454"/>
    <w:rsid w:val="006F4D7F"/>
    <w:rsid w:val="00711F88"/>
    <w:rsid w:val="00733B74"/>
    <w:rsid w:val="00753E0E"/>
    <w:rsid w:val="00781C7F"/>
    <w:rsid w:val="007A22D5"/>
    <w:rsid w:val="007A6190"/>
    <w:rsid w:val="007D1B7F"/>
    <w:rsid w:val="007E4188"/>
    <w:rsid w:val="007E7042"/>
    <w:rsid w:val="007F5723"/>
    <w:rsid w:val="00822C54"/>
    <w:rsid w:val="0083145F"/>
    <w:rsid w:val="0084610C"/>
    <w:rsid w:val="00887ADF"/>
    <w:rsid w:val="008D688A"/>
    <w:rsid w:val="00907FD9"/>
    <w:rsid w:val="00956275"/>
    <w:rsid w:val="009660EF"/>
    <w:rsid w:val="0099543B"/>
    <w:rsid w:val="009B7695"/>
    <w:rsid w:val="009C41F4"/>
    <w:rsid w:val="00A03DA3"/>
    <w:rsid w:val="00A11BEB"/>
    <w:rsid w:val="00A65249"/>
    <w:rsid w:val="00A85949"/>
    <w:rsid w:val="00AB2C36"/>
    <w:rsid w:val="00B0033C"/>
    <w:rsid w:val="00B21B1F"/>
    <w:rsid w:val="00B230CF"/>
    <w:rsid w:val="00B3053A"/>
    <w:rsid w:val="00B32727"/>
    <w:rsid w:val="00B652F2"/>
    <w:rsid w:val="00B91121"/>
    <w:rsid w:val="00BA23FF"/>
    <w:rsid w:val="00BD598D"/>
    <w:rsid w:val="00BE0945"/>
    <w:rsid w:val="00C01A14"/>
    <w:rsid w:val="00C02CBD"/>
    <w:rsid w:val="00C302EB"/>
    <w:rsid w:val="00C31F3E"/>
    <w:rsid w:val="00C504E3"/>
    <w:rsid w:val="00C86813"/>
    <w:rsid w:val="00CD12DC"/>
    <w:rsid w:val="00CE3A8A"/>
    <w:rsid w:val="00CE3CF2"/>
    <w:rsid w:val="00D10A88"/>
    <w:rsid w:val="00D35CF2"/>
    <w:rsid w:val="00D67BF8"/>
    <w:rsid w:val="00D920B3"/>
    <w:rsid w:val="00D97B62"/>
    <w:rsid w:val="00DC50A7"/>
    <w:rsid w:val="00DF0F10"/>
    <w:rsid w:val="00E10C00"/>
    <w:rsid w:val="00E12214"/>
    <w:rsid w:val="00E24FE9"/>
    <w:rsid w:val="00E73AF1"/>
    <w:rsid w:val="00E743AF"/>
    <w:rsid w:val="00E808D4"/>
    <w:rsid w:val="00EA34B8"/>
    <w:rsid w:val="00EB5015"/>
    <w:rsid w:val="00EC2072"/>
    <w:rsid w:val="00ED397C"/>
    <w:rsid w:val="00F03575"/>
    <w:rsid w:val="00F1754A"/>
    <w:rsid w:val="00F4617A"/>
    <w:rsid w:val="00F47EA8"/>
    <w:rsid w:val="00F802B5"/>
    <w:rsid w:val="01995B0E"/>
    <w:rsid w:val="01FF0067"/>
    <w:rsid w:val="02C1356F"/>
    <w:rsid w:val="02D768EE"/>
    <w:rsid w:val="03270528"/>
    <w:rsid w:val="03304250"/>
    <w:rsid w:val="03991DF6"/>
    <w:rsid w:val="039B791C"/>
    <w:rsid w:val="03F37758"/>
    <w:rsid w:val="04294F27"/>
    <w:rsid w:val="04730898"/>
    <w:rsid w:val="049F592E"/>
    <w:rsid w:val="04B74C29"/>
    <w:rsid w:val="053F14AC"/>
    <w:rsid w:val="055E50A5"/>
    <w:rsid w:val="056A6750"/>
    <w:rsid w:val="05AC22B4"/>
    <w:rsid w:val="062A31D9"/>
    <w:rsid w:val="066A7A79"/>
    <w:rsid w:val="067D155B"/>
    <w:rsid w:val="071D3DD2"/>
    <w:rsid w:val="0733430F"/>
    <w:rsid w:val="073E518E"/>
    <w:rsid w:val="074D53D1"/>
    <w:rsid w:val="07F7533D"/>
    <w:rsid w:val="09150170"/>
    <w:rsid w:val="099A0675"/>
    <w:rsid w:val="09B06050"/>
    <w:rsid w:val="0A051F93"/>
    <w:rsid w:val="0A682522"/>
    <w:rsid w:val="0ABA2D7D"/>
    <w:rsid w:val="0B0E30C9"/>
    <w:rsid w:val="0B705B32"/>
    <w:rsid w:val="0C0E22CA"/>
    <w:rsid w:val="0CFF0F1B"/>
    <w:rsid w:val="0D4A1025"/>
    <w:rsid w:val="0DA701FE"/>
    <w:rsid w:val="0E341099"/>
    <w:rsid w:val="0E462B7A"/>
    <w:rsid w:val="0E6F20D1"/>
    <w:rsid w:val="0F3B226A"/>
    <w:rsid w:val="0F7D25CB"/>
    <w:rsid w:val="0FAD1102"/>
    <w:rsid w:val="102569F8"/>
    <w:rsid w:val="1030763E"/>
    <w:rsid w:val="10321608"/>
    <w:rsid w:val="103233B6"/>
    <w:rsid w:val="10AD0C8E"/>
    <w:rsid w:val="119C0B35"/>
    <w:rsid w:val="122B4561"/>
    <w:rsid w:val="127111FD"/>
    <w:rsid w:val="1272218F"/>
    <w:rsid w:val="129C720C"/>
    <w:rsid w:val="13BB7B66"/>
    <w:rsid w:val="1476201A"/>
    <w:rsid w:val="1481490C"/>
    <w:rsid w:val="15001CD4"/>
    <w:rsid w:val="152E4A94"/>
    <w:rsid w:val="15915022"/>
    <w:rsid w:val="15DD7A73"/>
    <w:rsid w:val="15EB4733"/>
    <w:rsid w:val="15FE79D5"/>
    <w:rsid w:val="16481B85"/>
    <w:rsid w:val="16907088"/>
    <w:rsid w:val="1731743F"/>
    <w:rsid w:val="177B7D38"/>
    <w:rsid w:val="178A1D29"/>
    <w:rsid w:val="17F453F5"/>
    <w:rsid w:val="180E4708"/>
    <w:rsid w:val="185F31B6"/>
    <w:rsid w:val="18BE612E"/>
    <w:rsid w:val="18C64FE3"/>
    <w:rsid w:val="18FE652B"/>
    <w:rsid w:val="193C52A5"/>
    <w:rsid w:val="19524AC9"/>
    <w:rsid w:val="19570331"/>
    <w:rsid w:val="196220FF"/>
    <w:rsid w:val="196A1E12"/>
    <w:rsid w:val="19B4308D"/>
    <w:rsid w:val="1A402B73"/>
    <w:rsid w:val="1A750A6F"/>
    <w:rsid w:val="1AF5570C"/>
    <w:rsid w:val="1B0F0EC3"/>
    <w:rsid w:val="1B636B19"/>
    <w:rsid w:val="1BBB6955"/>
    <w:rsid w:val="1C3B5CE8"/>
    <w:rsid w:val="1CA23EAD"/>
    <w:rsid w:val="1CAB69CA"/>
    <w:rsid w:val="1D3F5364"/>
    <w:rsid w:val="1D6D1ED1"/>
    <w:rsid w:val="1D76522A"/>
    <w:rsid w:val="1DD7559C"/>
    <w:rsid w:val="1DDC7057"/>
    <w:rsid w:val="1ED33FB6"/>
    <w:rsid w:val="1F244811"/>
    <w:rsid w:val="1FE04BDC"/>
    <w:rsid w:val="20801F1B"/>
    <w:rsid w:val="20E00C0C"/>
    <w:rsid w:val="20EE0BFF"/>
    <w:rsid w:val="211A411E"/>
    <w:rsid w:val="21F77FBB"/>
    <w:rsid w:val="221E19EC"/>
    <w:rsid w:val="226D4721"/>
    <w:rsid w:val="22B83E1E"/>
    <w:rsid w:val="22FB1D2D"/>
    <w:rsid w:val="23B87C1E"/>
    <w:rsid w:val="23ED2245"/>
    <w:rsid w:val="24174945"/>
    <w:rsid w:val="256E4A38"/>
    <w:rsid w:val="257B7155"/>
    <w:rsid w:val="25D1350B"/>
    <w:rsid w:val="26467763"/>
    <w:rsid w:val="26B4291F"/>
    <w:rsid w:val="26E72CF4"/>
    <w:rsid w:val="270218DC"/>
    <w:rsid w:val="2714160F"/>
    <w:rsid w:val="273F362F"/>
    <w:rsid w:val="274243CE"/>
    <w:rsid w:val="279462AC"/>
    <w:rsid w:val="27E9484A"/>
    <w:rsid w:val="280478D6"/>
    <w:rsid w:val="285223EF"/>
    <w:rsid w:val="296244C7"/>
    <w:rsid w:val="297445E7"/>
    <w:rsid w:val="2993118C"/>
    <w:rsid w:val="2A0911D4"/>
    <w:rsid w:val="2A1C4A45"/>
    <w:rsid w:val="2A2658E2"/>
    <w:rsid w:val="2ABA726D"/>
    <w:rsid w:val="2ACA0963"/>
    <w:rsid w:val="2AFE060C"/>
    <w:rsid w:val="2B4956F0"/>
    <w:rsid w:val="2B673A18"/>
    <w:rsid w:val="2BCC070B"/>
    <w:rsid w:val="2C0003B4"/>
    <w:rsid w:val="2C1F6A8C"/>
    <w:rsid w:val="2C3C2DE8"/>
    <w:rsid w:val="2C4955AF"/>
    <w:rsid w:val="2CAB0320"/>
    <w:rsid w:val="2CB5119F"/>
    <w:rsid w:val="2E3D58F0"/>
    <w:rsid w:val="2E562B83"/>
    <w:rsid w:val="2E7D3F3E"/>
    <w:rsid w:val="2E7F1A64"/>
    <w:rsid w:val="2E894691"/>
    <w:rsid w:val="2E8B5538"/>
    <w:rsid w:val="2ED74139"/>
    <w:rsid w:val="2F3A3BDD"/>
    <w:rsid w:val="2F796962"/>
    <w:rsid w:val="30174892"/>
    <w:rsid w:val="304271ED"/>
    <w:rsid w:val="30C51C8B"/>
    <w:rsid w:val="313F372D"/>
    <w:rsid w:val="3175714F"/>
    <w:rsid w:val="31F33CED"/>
    <w:rsid w:val="323D738C"/>
    <w:rsid w:val="336C2C3E"/>
    <w:rsid w:val="3394513F"/>
    <w:rsid w:val="34713BFD"/>
    <w:rsid w:val="349A71B7"/>
    <w:rsid w:val="34B63260"/>
    <w:rsid w:val="34DA5C46"/>
    <w:rsid w:val="351A379D"/>
    <w:rsid w:val="3542559A"/>
    <w:rsid w:val="358B6F41"/>
    <w:rsid w:val="369D17F5"/>
    <w:rsid w:val="36C46BAE"/>
    <w:rsid w:val="3700570C"/>
    <w:rsid w:val="374E2ACA"/>
    <w:rsid w:val="378E4AC6"/>
    <w:rsid w:val="38224251"/>
    <w:rsid w:val="38543F62"/>
    <w:rsid w:val="38A30230"/>
    <w:rsid w:val="38E8396C"/>
    <w:rsid w:val="38EA6674"/>
    <w:rsid w:val="38EA67DB"/>
    <w:rsid w:val="39744416"/>
    <w:rsid w:val="399B53CB"/>
    <w:rsid w:val="3A1C285D"/>
    <w:rsid w:val="3A960861"/>
    <w:rsid w:val="3ADC3D9A"/>
    <w:rsid w:val="3BD542A3"/>
    <w:rsid w:val="3CB925E5"/>
    <w:rsid w:val="3CCF1E09"/>
    <w:rsid w:val="3D605787"/>
    <w:rsid w:val="3D935651"/>
    <w:rsid w:val="3DD35929"/>
    <w:rsid w:val="3E18333B"/>
    <w:rsid w:val="3E524A9F"/>
    <w:rsid w:val="3E9450B8"/>
    <w:rsid w:val="3EC83158"/>
    <w:rsid w:val="3EEB27FE"/>
    <w:rsid w:val="3EF419F6"/>
    <w:rsid w:val="3F8844F1"/>
    <w:rsid w:val="3FC4377B"/>
    <w:rsid w:val="3FCE5B6D"/>
    <w:rsid w:val="40F759CC"/>
    <w:rsid w:val="42CE4911"/>
    <w:rsid w:val="42D3694C"/>
    <w:rsid w:val="42D55C9F"/>
    <w:rsid w:val="43106BE6"/>
    <w:rsid w:val="43193DDE"/>
    <w:rsid w:val="433F136A"/>
    <w:rsid w:val="439E2535"/>
    <w:rsid w:val="43BE77D2"/>
    <w:rsid w:val="43EA7528"/>
    <w:rsid w:val="449E3388"/>
    <w:rsid w:val="45667082"/>
    <w:rsid w:val="45800144"/>
    <w:rsid w:val="4597723C"/>
    <w:rsid w:val="46537607"/>
    <w:rsid w:val="46827EEC"/>
    <w:rsid w:val="46AE718E"/>
    <w:rsid w:val="478552AD"/>
    <w:rsid w:val="478B1022"/>
    <w:rsid w:val="47E04ECA"/>
    <w:rsid w:val="47FB7F56"/>
    <w:rsid w:val="48934632"/>
    <w:rsid w:val="49137521"/>
    <w:rsid w:val="492434DC"/>
    <w:rsid w:val="4B0E1D4E"/>
    <w:rsid w:val="4B306168"/>
    <w:rsid w:val="4B5E0F27"/>
    <w:rsid w:val="4C2537F3"/>
    <w:rsid w:val="4CCE79E7"/>
    <w:rsid w:val="4CDB19B8"/>
    <w:rsid w:val="4D2910C1"/>
    <w:rsid w:val="4D375535"/>
    <w:rsid w:val="4D381304"/>
    <w:rsid w:val="4D837DA4"/>
    <w:rsid w:val="4D8D78A2"/>
    <w:rsid w:val="4DB50BA7"/>
    <w:rsid w:val="4EAF1A9A"/>
    <w:rsid w:val="4EF8231C"/>
    <w:rsid w:val="4F0829D3"/>
    <w:rsid w:val="4F1354E5"/>
    <w:rsid w:val="4F277882"/>
    <w:rsid w:val="4FD30EFD"/>
    <w:rsid w:val="50304850"/>
    <w:rsid w:val="50504344"/>
    <w:rsid w:val="506D7517"/>
    <w:rsid w:val="50F47C38"/>
    <w:rsid w:val="510C31D4"/>
    <w:rsid w:val="51215FEE"/>
    <w:rsid w:val="514C5A87"/>
    <w:rsid w:val="515070C6"/>
    <w:rsid w:val="51705511"/>
    <w:rsid w:val="52320A18"/>
    <w:rsid w:val="523429E2"/>
    <w:rsid w:val="527E2F45"/>
    <w:rsid w:val="529C2335"/>
    <w:rsid w:val="5314501A"/>
    <w:rsid w:val="536746F1"/>
    <w:rsid w:val="5373753A"/>
    <w:rsid w:val="53801564"/>
    <w:rsid w:val="53B11E10"/>
    <w:rsid w:val="540E7639"/>
    <w:rsid w:val="54D97871"/>
    <w:rsid w:val="55CD5B6D"/>
    <w:rsid w:val="55D32512"/>
    <w:rsid w:val="56097CE2"/>
    <w:rsid w:val="562E7748"/>
    <w:rsid w:val="56494582"/>
    <w:rsid w:val="56CE4A87"/>
    <w:rsid w:val="56D95906"/>
    <w:rsid w:val="570566FB"/>
    <w:rsid w:val="575907F5"/>
    <w:rsid w:val="57DB56AE"/>
    <w:rsid w:val="58353010"/>
    <w:rsid w:val="583A7EAE"/>
    <w:rsid w:val="58690F0C"/>
    <w:rsid w:val="591C41D0"/>
    <w:rsid w:val="598D29D8"/>
    <w:rsid w:val="59995821"/>
    <w:rsid w:val="59D86614"/>
    <w:rsid w:val="5A5359CF"/>
    <w:rsid w:val="5B062A42"/>
    <w:rsid w:val="5B0B5D38"/>
    <w:rsid w:val="5B5F7A7D"/>
    <w:rsid w:val="5B61411C"/>
    <w:rsid w:val="5B6339F0"/>
    <w:rsid w:val="5BA67D81"/>
    <w:rsid w:val="5CA644DC"/>
    <w:rsid w:val="5CB5471F"/>
    <w:rsid w:val="5CEC74DE"/>
    <w:rsid w:val="5D057A0D"/>
    <w:rsid w:val="5D7A7717"/>
    <w:rsid w:val="5E453881"/>
    <w:rsid w:val="5E4C4C10"/>
    <w:rsid w:val="5E5B30A5"/>
    <w:rsid w:val="5EF3152F"/>
    <w:rsid w:val="5F04373C"/>
    <w:rsid w:val="5FCB1BD4"/>
    <w:rsid w:val="5FFB59B1"/>
    <w:rsid w:val="60114363"/>
    <w:rsid w:val="60911000"/>
    <w:rsid w:val="609E371C"/>
    <w:rsid w:val="61851EA4"/>
    <w:rsid w:val="62652744"/>
    <w:rsid w:val="62946B85"/>
    <w:rsid w:val="62C73E82"/>
    <w:rsid w:val="644B4AAD"/>
    <w:rsid w:val="652A37D1"/>
    <w:rsid w:val="6546685C"/>
    <w:rsid w:val="658712EF"/>
    <w:rsid w:val="65AE61B0"/>
    <w:rsid w:val="66291CDA"/>
    <w:rsid w:val="6659611C"/>
    <w:rsid w:val="66E300DB"/>
    <w:rsid w:val="66EC27B4"/>
    <w:rsid w:val="67586BB1"/>
    <w:rsid w:val="6759039D"/>
    <w:rsid w:val="67917B37"/>
    <w:rsid w:val="67957627"/>
    <w:rsid w:val="67F307F2"/>
    <w:rsid w:val="688A4CB2"/>
    <w:rsid w:val="68A700FB"/>
    <w:rsid w:val="69A30E1A"/>
    <w:rsid w:val="69C75A92"/>
    <w:rsid w:val="69F12B0F"/>
    <w:rsid w:val="6A0A183B"/>
    <w:rsid w:val="6A576E16"/>
    <w:rsid w:val="6A94006A"/>
    <w:rsid w:val="6A9516EC"/>
    <w:rsid w:val="6ACF2E50"/>
    <w:rsid w:val="6AE10DD5"/>
    <w:rsid w:val="6B3929BF"/>
    <w:rsid w:val="6B660D36"/>
    <w:rsid w:val="6BBB33D4"/>
    <w:rsid w:val="6C3A1D74"/>
    <w:rsid w:val="6CAD765A"/>
    <w:rsid w:val="6CEC713D"/>
    <w:rsid w:val="6D8A305E"/>
    <w:rsid w:val="6DA32372"/>
    <w:rsid w:val="6DB42482"/>
    <w:rsid w:val="6E1971DD"/>
    <w:rsid w:val="6EC72090"/>
    <w:rsid w:val="6F321C00"/>
    <w:rsid w:val="6F4C09FA"/>
    <w:rsid w:val="6FB645DF"/>
    <w:rsid w:val="6FE0165C"/>
    <w:rsid w:val="7044229B"/>
    <w:rsid w:val="72655714"/>
    <w:rsid w:val="728B04FC"/>
    <w:rsid w:val="72964253"/>
    <w:rsid w:val="73467A28"/>
    <w:rsid w:val="73AF1A71"/>
    <w:rsid w:val="73D2575F"/>
    <w:rsid w:val="73ED4347"/>
    <w:rsid w:val="741B5358"/>
    <w:rsid w:val="74654825"/>
    <w:rsid w:val="747B250D"/>
    <w:rsid w:val="755F3023"/>
    <w:rsid w:val="75F776FF"/>
    <w:rsid w:val="7641097A"/>
    <w:rsid w:val="764D5571"/>
    <w:rsid w:val="768F7938"/>
    <w:rsid w:val="76C133B9"/>
    <w:rsid w:val="76E750F9"/>
    <w:rsid w:val="77004391"/>
    <w:rsid w:val="771B741D"/>
    <w:rsid w:val="773D7394"/>
    <w:rsid w:val="774E15A1"/>
    <w:rsid w:val="779E42D6"/>
    <w:rsid w:val="77F02658"/>
    <w:rsid w:val="78083CA1"/>
    <w:rsid w:val="785250C1"/>
    <w:rsid w:val="788B10B5"/>
    <w:rsid w:val="78AC2BBB"/>
    <w:rsid w:val="78CD162F"/>
    <w:rsid w:val="79A67472"/>
    <w:rsid w:val="7AB756AF"/>
    <w:rsid w:val="7ACF47A6"/>
    <w:rsid w:val="7AD91CD2"/>
    <w:rsid w:val="7B0A3A31"/>
    <w:rsid w:val="7C232FFC"/>
    <w:rsid w:val="7C413482"/>
    <w:rsid w:val="7D727EC2"/>
    <w:rsid w:val="7D985324"/>
    <w:rsid w:val="7ECD54A1"/>
    <w:rsid w:val="7F201A75"/>
    <w:rsid w:val="7F6826B3"/>
    <w:rsid w:val="7F6A2CF0"/>
    <w:rsid w:val="7F8A1958"/>
    <w:rsid w:val="7FD5285F"/>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360" w:lineRule="auto"/>
    </w:pPr>
    <w:rPr>
      <w:rFonts w:ascii="宋体" w:hAnsi="宋体" w:eastAsia="宋体" w:cs="Times New Roman"/>
      <w:kern w:val="28"/>
      <w:sz w:val="24"/>
      <w:szCs w:val="24"/>
      <w:lang w:val="en-US" w:eastAsia="zh-CN" w:bidi="ar-SA"/>
    </w:rPr>
  </w:style>
  <w:style w:type="paragraph" w:styleId="2">
    <w:name w:val="heading 2"/>
    <w:basedOn w:val="1"/>
    <w:next w:val="1"/>
    <w:autoRedefine/>
    <w:qFormat/>
    <w:uiPriority w:val="9"/>
    <w:pPr>
      <w:keepNext/>
      <w:spacing w:before="40" w:after="40"/>
      <w:outlineLvl w:val="1"/>
    </w:pPr>
    <w:rPr>
      <w:b/>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99"/>
    <w:pPr>
      <w:widowControl w:val="0"/>
    </w:pPr>
    <w:rPr>
      <w:rFonts w:ascii="Calibri" w:hAnsi="Calibri"/>
      <w:kern w:val="2"/>
    </w:rPr>
  </w:style>
  <w:style w:type="paragraph" w:styleId="4">
    <w:name w:val="Plain Text"/>
    <w:basedOn w:val="1"/>
    <w:link w:val="26"/>
    <w:autoRedefine/>
    <w:unhideWhenUsed/>
    <w:qFormat/>
    <w:uiPriority w:val="99"/>
    <w:pPr>
      <w:widowControl w:val="0"/>
      <w:spacing w:line="240" w:lineRule="auto"/>
      <w:jc w:val="both"/>
    </w:pPr>
    <w:rPr>
      <w:rFonts w:hAnsi="Courier New" w:cs="Courier New"/>
      <w:kern w:val="2"/>
      <w:sz w:val="21"/>
      <w:szCs w:val="21"/>
    </w:rPr>
  </w:style>
  <w:style w:type="paragraph" w:styleId="5">
    <w:name w:val="Balloon Text"/>
    <w:basedOn w:val="1"/>
    <w:link w:val="25"/>
    <w:autoRedefine/>
    <w:semiHidden/>
    <w:unhideWhenUsed/>
    <w:qFormat/>
    <w:uiPriority w:val="99"/>
    <w:pPr>
      <w:spacing w:line="240" w:lineRule="auto"/>
    </w:pPr>
    <w:rPr>
      <w:sz w:val="18"/>
      <w:szCs w:val="18"/>
    </w:rPr>
  </w:style>
  <w:style w:type="paragraph" w:styleId="6">
    <w:name w:val="footer"/>
    <w:basedOn w:val="1"/>
    <w:link w:val="21"/>
    <w:autoRedefine/>
    <w:unhideWhenUsed/>
    <w:qFormat/>
    <w:uiPriority w:val="99"/>
    <w:pPr>
      <w:tabs>
        <w:tab w:val="center" w:pos="4153"/>
        <w:tab w:val="right" w:pos="8306"/>
      </w:tabs>
      <w:snapToGrid w:val="0"/>
      <w:spacing w:line="240" w:lineRule="auto"/>
    </w:pPr>
    <w:rPr>
      <w:sz w:val="18"/>
      <w:szCs w:val="18"/>
    </w:rPr>
  </w:style>
  <w:style w:type="paragraph" w:styleId="7">
    <w:name w:val="header"/>
    <w:basedOn w:val="1"/>
    <w:link w:val="20"/>
    <w:autoRedefine/>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Subtitle"/>
    <w:basedOn w:val="1"/>
    <w:next w:val="1"/>
    <w:link w:val="13"/>
    <w:autoRedefine/>
    <w:qFormat/>
    <w:uiPriority w:val="11"/>
    <w:pPr>
      <w:spacing w:line="460" w:lineRule="exact"/>
      <w:ind w:left="200" w:leftChars="200" w:firstLine="200" w:firstLineChars="200"/>
    </w:pPr>
    <w:rPr>
      <w:rFonts w:ascii="Cambria" w:hAnsi="Cambria"/>
      <w:bCs/>
      <w:spacing w:val="20"/>
      <w:szCs w:val="32"/>
      <w:lang w:val="en-GB" w:eastAsia="de-DE"/>
    </w:rPr>
  </w:style>
  <w:style w:type="paragraph" w:styleId="9">
    <w:name w:val="Title"/>
    <w:basedOn w:val="1"/>
    <w:next w:val="1"/>
    <w:link w:val="14"/>
    <w:autoRedefine/>
    <w:qFormat/>
    <w:uiPriority w:val="10"/>
    <w:pPr>
      <w:spacing w:before="240" w:after="60"/>
      <w:outlineLvl w:val="0"/>
    </w:pPr>
    <w:rPr>
      <w:rFonts w:ascii="Calibri Light" w:hAnsi="Calibri Light"/>
      <w:b/>
      <w:bCs/>
      <w:sz w:val="32"/>
      <w:szCs w:val="32"/>
    </w:rPr>
  </w:style>
  <w:style w:type="character" w:styleId="12">
    <w:name w:val="annotation reference"/>
    <w:basedOn w:val="11"/>
    <w:autoRedefine/>
    <w:qFormat/>
    <w:uiPriority w:val="0"/>
    <w:rPr>
      <w:sz w:val="21"/>
      <w:szCs w:val="21"/>
    </w:rPr>
  </w:style>
  <w:style w:type="character" w:customStyle="1" w:styleId="13">
    <w:name w:val="副标题 字符"/>
    <w:basedOn w:val="11"/>
    <w:link w:val="8"/>
    <w:autoRedefine/>
    <w:qFormat/>
    <w:uiPriority w:val="11"/>
    <w:rPr>
      <w:rFonts w:ascii="Cambria" w:hAnsi="Cambria" w:eastAsia="宋体" w:cs="Times New Roman"/>
      <w:bCs/>
      <w:spacing w:val="20"/>
      <w:kern w:val="28"/>
      <w:sz w:val="24"/>
      <w:szCs w:val="32"/>
      <w:lang w:val="en-GB" w:eastAsia="de-DE"/>
    </w:rPr>
  </w:style>
  <w:style w:type="character" w:customStyle="1" w:styleId="14">
    <w:name w:val="标题 字符"/>
    <w:basedOn w:val="11"/>
    <w:link w:val="9"/>
    <w:autoRedefine/>
    <w:qFormat/>
    <w:uiPriority w:val="10"/>
    <w:rPr>
      <w:rFonts w:ascii="Calibri Light" w:hAnsi="Calibri Light" w:eastAsia="宋体" w:cs="Times New Roman"/>
      <w:b/>
      <w:bCs/>
      <w:kern w:val="28"/>
      <w:sz w:val="32"/>
      <w:szCs w:val="32"/>
    </w:rPr>
  </w:style>
  <w:style w:type="character" w:customStyle="1" w:styleId="15">
    <w:name w:val="NormalCharacter"/>
    <w:autoRedefine/>
    <w:qFormat/>
    <w:uiPriority w:val="0"/>
    <w:rPr>
      <w:rFonts w:ascii="Times New Roman" w:hAnsi="Times New Roman" w:eastAsia="Verdana" w:cs="Times New Roman"/>
      <w:kern w:val="2"/>
      <w:sz w:val="18"/>
      <w:lang w:val="en-US" w:eastAsia="zh-CN" w:bidi="ar-SA"/>
    </w:rPr>
  </w:style>
  <w:style w:type="paragraph" w:customStyle="1" w:styleId="16">
    <w:name w:val="Heading2"/>
    <w:basedOn w:val="1"/>
    <w:next w:val="1"/>
    <w:autoRedefine/>
    <w:qFormat/>
    <w:uiPriority w:val="0"/>
    <w:pPr>
      <w:keepNext/>
      <w:keepLines/>
      <w:ind w:firstLine="100" w:firstLineChars="100"/>
      <w:textAlignment w:val="baseline"/>
    </w:pPr>
    <w:rPr>
      <w:rFonts w:ascii="Cambria" w:hAnsi="Cambria"/>
      <w:b/>
      <w:bCs/>
      <w:szCs w:val="32"/>
    </w:rPr>
  </w:style>
  <w:style w:type="paragraph" w:customStyle="1" w:styleId="17">
    <w:name w:val="UserStyle_13"/>
    <w:basedOn w:val="1"/>
    <w:autoRedefine/>
    <w:qFormat/>
    <w:uiPriority w:val="0"/>
    <w:pPr>
      <w:ind w:firstLine="200" w:firstLineChars="200"/>
      <w:textAlignment w:val="baseline"/>
    </w:pPr>
  </w:style>
  <w:style w:type="paragraph" w:customStyle="1" w:styleId="18">
    <w:name w:val="UserStyle_14"/>
    <w:basedOn w:val="1"/>
    <w:autoRedefine/>
    <w:qFormat/>
    <w:uiPriority w:val="0"/>
    <w:pPr>
      <w:textAlignment w:val="baseline"/>
    </w:pPr>
    <w:rPr>
      <w:rFonts w:ascii="Arial" w:hAnsi="Arial"/>
      <w:kern w:val="0"/>
      <w:sz w:val="44"/>
      <w:szCs w:val="44"/>
      <w:lang w:val="en-GB" w:eastAsia="de-DE"/>
    </w:rPr>
  </w:style>
  <w:style w:type="paragraph" w:customStyle="1" w:styleId="19">
    <w:name w:val="列出段落2"/>
    <w:basedOn w:val="1"/>
    <w:autoRedefine/>
    <w:qFormat/>
    <w:uiPriority w:val="34"/>
    <w:pPr>
      <w:widowControl w:val="0"/>
      <w:spacing w:line="240" w:lineRule="auto"/>
      <w:ind w:firstLine="420" w:firstLineChars="200"/>
      <w:jc w:val="both"/>
    </w:pPr>
    <w:rPr>
      <w:rFonts w:ascii="Times New Roman" w:hAnsi="Times New Roman"/>
      <w:kern w:val="2"/>
      <w:sz w:val="21"/>
    </w:rPr>
  </w:style>
  <w:style w:type="character" w:customStyle="1" w:styleId="20">
    <w:name w:val="页眉 字符1"/>
    <w:basedOn w:val="11"/>
    <w:link w:val="7"/>
    <w:autoRedefine/>
    <w:semiHidden/>
    <w:qFormat/>
    <w:uiPriority w:val="99"/>
    <w:rPr>
      <w:rFonts w:ascii="宋体" w:hAnsi="宋体" w:eastAsia="宋体" w:cs="Times New Roman"/>
      <w:kern w:val="28"/>
      <w:sz w:val="18"/>
      <w:szCs w:val="18"/>
    </w:rPr>
  </w:style>
  <w:style w:type="character" w:customStyle="1" w:styleId="21">
    <w:name w:val="页脚 字符"/>
    <w:basedOn w:val="11"/>
    <w:link w:val="6"/>
    <w:autoRedefine/>
    <w:qFormat/>
    <w:uiPriority w:val="99"/>
    <w:rPr>
      <w:rFonts w:ascii="宋体" w:hAnsi="宋体" w:eastAsia="宋体" w:cs="Times New Roman"/>
      <w:kern w:val="28"/>
      <w:sz w:val="18"/>
      <w:szCs w:val="18"/>
    </w:rPr>
  </w:style>
  <w:style w:type="character" w:customStyle="1" w:styleId="22">
    <w:name w:val="页眉 字符"/>
    <w:autoRedefine/>
    <w:qFormat/>
    <w:uiPriority w:val="0"/>
    <w:rPr>
      <w:sz w:val="24"/>
      <w:lang w:eastAsia="en-US"/>
    </w:rPr>
  </w:style>
  <w:style w:type="paragraph" w:styleId="23">
    <w:name w:val="No Spacing"/>
    <w:link w:val="24"/>
    <w:autoRedefine/>
    <w:qFormat/>
    <w:uiPriority w:val="1"/>
    <w:rPr>
      <w:rFonts w:ascii="Calibri" w:hAnsi="Calibri" w:eastAsia="宋体" w:cs="Times New Roman"/>
      <w:sz w:val="24"/>
      <w:szCs w:val="24"/>
      <w:lang w:val="en-US" w:eastAsia="en-US" w:bidi="en-US"/>
    </w:rPr>
  </w:style>
  <w:style w:type="character" w:customStyle="1" w:styleId="24">
    <w:name w:val="无间隔 字符"/>
    <w:link w:val="23"/>
    <w:autoRedefine/>
    <w:qFormat/>
    <w:uiPriority w:val="1"/>
    <w:rPr>
      <w:rFonts w:ascii="Calibri" w:hAnsi="Calibri" w:eastAsia="宋体" w:cs="Times New Roman"/>
      <w:kern w:val="0"/>
      <w:sz w:val="24"/>
      <w:szCs w:val="24"/>
      <w:lang w:eastAsia="en-US" w:bidi="en-US"/>
    </w:rPr>
  </w:style>
  <w:style w:type="character" w:customStyle="1" w:styleId="25">
    <w:name w:val="批注框文本 字符"/>
    <w:basedOn w:val="11"/>
    <w:link w:val="5"/>
    <w:autoRedefine/>
    <w:semiHidden/>
    <w:qFormat/>
    <w:uiPriority w:val="99"/>
    <w:rPr>
      <w:rFonts w:ascii="宋体" w:hAnsi="宋体" w:eastAsia="宋体" w:cs="Times New Roman"/>
      <w:kern w:val="28"/>
      <w:sz w:val="18"/>
      <w:szCs w:val="18"/>
    </w:rPr>
  </w:style>
  <w:style w:type="character" w:customStyle="1" w:styleId="26">
    <w:name w:val="纯文本 字符"/>
    <w:basedOn w:val="11"/>
    <w:link w:val="4"/>
    <w:autoRedefine/>
    <w:qFormat/>
    <w:uiPriority w:val="99"/>
    <w:rPr>
      <w:rFonts w:ascii="宋体" w:hAnsi="Courier New" w:eastAsia="宋体" w:cs="Courier New"/>
      <w:szCs w:val="21"/>
    </w:rPr>
  </w:style>
  <w:style w:type="paragraph" w:styleId="27">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1203</Words>
  <Characters>6861</Characters>
  <Lines>57</Lines>
  <Paragraphs>16</Paragraphs>
  <TotalTime>0</TotalTime>
  <ScaleCrop>false</ScaleCrop>
  <LinksUpToDate>false</LinksUpToDate>
  <CharactersWithSpaces>8048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2024-01-09T08:11:00Z</dcterms:created>
  <dc:creator>徐卓</dc:creator>
  <cp:lastModifiedBy>雪狼</cp:lastModifiedBy>
  <dcterms:modified xsi:type="dcterms:W3CDTF">2024-03-15T04:15:10Z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5688A5DE478840AA9A7A447C503B9AC9_12</vt:lpwstr>
  </property>
</Properties>
</file>